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42DA" w14:textId="4C8B47D3" w:rsidR="00C5174D" w:rsidRPr="007E4E93" w:rsidRDefault="00736AE7" w:rsidP="00C5174D">
      <w:pPr>
        <w:spacing w:after="0"/>
        <w:ind w:left="-18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Bahari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YEOW Tien Hong </w:t>
      </w:r>
    </w:p>
    <w:p w14:paraId="27A5C2DC" w14:textId="3D7ECDE7" w:rsidR="00555D39" w:rsidRPr="001E4609" w:rsidRDefault="00555D39" w:rsidP="00BB124A">
      <w:pPr>
        <w:spacing w:after="0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Partner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BB124A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[Insert Photo DSC 8</w:t>
      </w:r>
      <w:r w:rsidR="00503598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]</w:t>
      </w:r>
    </w:p>
    <w:p w14:paraId="2DD38CF9" w14:textId="56AFCF98" w:rsidR="00C5174D" w:rsidRPr="007E4E93" w:rsidRDefault="00C5174D" w:rsidP="00C5174D">
      <w:pPr>
        <w:spacing w:after="0"/>
        <w:ind w:left="-180"/>
        <w:rPr>
          <w:rFonts w:ascii="Arial" w:hAnsi="Arial" w:cs="Arial"/>
          <w:sz w:val="22"/>
          <w:szCs w:val="22"/>
        </w:rPr>
      </w:pPr>
      <w:r w:rsidRPr="007E4E93">
        <w:rPr>
          <w:rFonts w:ascii="Arial" w:hAnsi="Arial" w:cs="Arial"/>
          <w:sz w:val="22"/>
          <w:szCs w:val="22"/>
        </w:rPr>
        <w:t>E:</w:t>
      </w:r>
      <w:r w:rsidRPr="007E4E93">
        <w:rPr>
          <w:rFonts w:ascii="Arial" w:hAnsi="Arial" w:cs="Arial"/>
          <w:sz w:val="22"/>
          <w:szCs w:val="22"/>
        </w:rPr>
        <w:tab/>
      </w:r>
      <w:hyperlink r:id="rId8" w:history="1">
        <w:r w:rsidR="008C1350" w:rsidRPr="00CD79B6">
          <w:rPr>
            <w:rStyle w:val="Hyperlink"/>
            <w:rFonts w:ascii="Arial" w:hAnsi="Arial" w:cs="Arial"/>
            <w:sz w:val="22"/>
            <w:szCs w:val="22"/>
          </w:rPr>
          <w:t>bahari@ganlaw.my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E4E93">
        <w:rPr>
          <w:rFonts w:ascii="Arial" w:hAnsi="Arial" w:cs="Arial"/>
          <w:sz w:val="22"/>
          <w:szCs w:val="22"/>
        </w:rPr>
        <w:t xml:space="preserve"> </w:t>
      </w:r>
      <w:r w:rsidRPr="007E4E93">
        <w:rPr>
          <w:rFonts w:ascii="Arial" w:hAnsi="Arial" w:cs="Arial"/>
          <w:sz w:val="22"/>
          <w:szCs w:val="22"/>
        </w:rPr>
        <w:tab/>
      </w:r>
    </w:p>
    <w:p w14:paraId="3EAFEB39" w14:textId="77777777" w:rsidR="00C5174D" w:rsidRDefault="00C5174D" w:rsidP="00C5174D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27707498" w14:textId="77777777" w:rsidR="00555D39" w:rsidRDefault="00555D39" w:rsidP="00C5174D">
      <w:pPr>
        <w:spacing w:after="0"/>
        <w:ind w:left="-180"/>
        <w:rPr>
          <w:rFonts w:ascii="Arial" w:hAnsi="Arial" w:cs="Arial"/>
          <w:b/>
          <w:bCs/>
          <w:sz w:val="20"/>
        </w:rPr>
        <w:sectPr w:rsidR="00555D39" w:rsidSect="00555D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4E3391C1" w14:textId="77777777" w:rsidR="00555D39" w:rsidRDefault="00555D39" w:rsidP="00555D39">
      <w:pPr>
        <w:spacing w:after="0"/>
        <w:ind w:left="-180"/>
        <w:rPr>
          <w:rFonts w:ascii="Arial" w:hAnsi="Arial" w:cs="Arial"/>
          <w:b/>
          <w:bCs/>
          <w:sz w:val="22"/>
          <w:szCs w:val="22"/>
        </w:rPr>
      </w:pPr>
    </w:p>
    <w:p w14:paraId="1A91502D" w14:textId="18A35D00" w:rsidR="00555D39" w:rsidRPr="00C5174D" w:rsidRDefault="00555D39" w:rsidP="00555D39">
      <w:pPr>
        <w:spacing w:after="0"/>
        <w:ind w:left="-180"/>
        <w:rPr>
          <w:rFonts w:ascii="Arial" w:hAnsi="Arial" w:cs="Arial"/>
          <w:b/>
          <w:bCs/>
          <w:sz w:val="22"/>
          <w:szCs w:val="22"/>
        </w:rPr>
      </w:pPr>
      <w:r w:rsidRPr="00C5174D">
        <w:rPr>
          <w:rFonts w:ascii="Arial" w:hAnsi="Arial" w:cs="Arial"/>
          <w:b/>
          <w:bCs/>
          <w:sz w:val="22"/>
          <w:szCs w:val="22"/>
        </w:rPr>
        <w:t>PROFILE</w:t>
      </w:r>
    </w:p>
    <w:p w14:paraId="53BD8B6A" w14:textId="77777777" w:rsidR="00555D39" w:rsidRPr="007E4E93" w:rsidRDefault="00555D39" w:rsidP="00555D39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68D0CD2A" w14:textId="2E49B88B" w:rsidR="00A14FD5" w:rsidRDefault="00A14FD5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  <w:r w:rsidRPr="00A14FD5">
        <w:rPr>
          <w:rFonts w:ascii="Arial" w:hAnsi="Arial" w:cs="Arial"/>
          <w:sz w:val="20"/>
          <w:lang w:val="en-US"/>
        </w:rPr>
        <w:t xml:space="preserve">With over 20 years’ experience in the fields of Intellectual Property and litigation, </w:t>
      </w:r>
      <w:proofErr w:type="spellStart"/>
      <w:r w:rsidRPr="00A14FD5">
        <w:rPr>
          <w:rFonts w:ascii="Arial" w:hAnsi="Arial" w:cs="Arial"/>
          <w:sz w:val="20"/>
          <w:lang w:val="en-US"/>
        </w:rPr>
        <w:t>Bahari</w:t>
      </w:r>
      <w:proofErr w:type="spellEnd"/>
      <w:r w:rsidRPr="00A14FD5">
        <w:rPr>
          <w:rFonts w:ascii="Arial" w:hAnsi="Arial" w:cs="Arial"/>
          <w:sz w:val="20"/>
          <w:lang w:val="en-US"/>
        </w:rPr>
        <w:t xml:space="preserve"> built and headed a </w:t>
      </w:r>
      <w:r w:rsidRPr="00A14FD5">
        <w:rPr>
          <w:rFonts w:ascii="Arial" w:hAnsi="Arial" w:cs="Arial"/>
          <w:i/>
          <w:sz w:val="20"/>
          <w:lang w:val="en-US"/>
        </w:rPr>
        <w:t>Legal 500</w:t>
      </w:r>
      <w:r w:rsidRPr="00A14FD5">
        <w:rPr>
          <w:rFonts w:ascii="Arial" w:hAnsi="Arial" w:cs="Arial"/>
          <w:sz w:val="20"/>
          <w:lang w:val="en-US"/>
        </w:rPr>
        <w:t xml:space="preserve"> Tier 1 Intellectual Property, Technology, </w:t>
      </w:r>
      <w:proofErr w:type="gramStart"/>
      <w:r w:rsidRPr="00A14FD5">
        <w:rPr>
          <w:rFonts w:ascii="Arial" w:hAnsi="Arial" w:cs="Arial"/>
          <w:sz w:val="20"/>
          <w:lang w:val="en-US"/>
        </w:rPr>
        <w:t>Media</w:t>
      </w:r>
      <w:proofErr w:type="gramEnd"/>
      <w:r w:rsidRPr="00A14FD5">
        <w:rPr>
          <w:rFonts w:ascii="Arial" w:hAnsi="Arial" w:cs="Arial"/>
          <w:sz w:val="20"/>
          <w:lang w:val="en-US"/>
        </w:rPr>
        <w:t xml:space="preserve"> and Telecommunications team. </w:t>
      </w:r>
      <w:proofErr w:type="spellStart"/>
      <w:r w:rsidRPr="00A14FD5">
        <w:rPr>
          <w:rFonts w:ascii="Arial" w:hAnsi="Arial" w:cs="Arial"/>
          <w:sz w:val="20"/>
          <w:lang w:val="en-US"/>
        </w:rPr>
        <w:t>Bahari</w:t>
      </w:r>
      <w:proofErr w:type="spellEnd"/>
      <w:r w:rsidRPr="00A14FD5">
        <w:rPr>
          <w:rFonts w:ascii="Arial" w:hAnsi="Arial" w:cs="Arial"/>
          <w:sz w:val="20"/>
          <w:lang w:val="en-US"/>
        </w:rPr>
        <w:t xml:space="preserve"> also led his previous firm to debut on </w:t>
      </w:r>
      <w:r w:rsidRPr="00A14FD5">
        <w:rPr>
          <w:rFonts w:ascii="Arial" w:hAnsi="Arial" w:cs="Arial"/>
          <w:i/>
          <w:sz w:val="20"/>
          <w:lang w:val="en-US"/>
        </w:rPr>
        <w:t>WTR 1000</w:t>
      </w:r>
      <w:r w:rsidRPr="00A14FD5">
        <w:rPr>
          <w:rFonts w:ascii="Arial" w:hAnsi="Arial" w:cs="Arial"/>
          <w:sz w:val="20"/>
          <w:lang w:val="en-US"/>
        </w:rPr>
        <w:t xml:space="preserve"> as the Top IP Firm in Malaysia notwithstanding being a fresh entry, before joining Gan Partnership together with his teams.</w:t>
      </w:r>
    </w:p>
    <w:p w14:paraId="5D3968A9" w14:textId="77777777" w:rsidR="00E57E86" w:rsidRPr="00A14FD5" w:rsidRDefault="00E57E86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2D5BBFD1" w14:textId="77777777" w:rsidR="00A14FD5" w:rsidRPr="00A14FD5" w:rsidRDefault="00A14FD5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  <w:proofErr w:type="spellStart"/>
      <w:r w:rsidRPr="00A14FD5">
        <w:rPr>
          <w:rFonts w:ascii="Arial" w:hAnsi="Arial" w:cs="Arial"/>
          <w:sz w:val="20"/>
          <w:lang w:val="en-US"/>
        </w:rPr>
        <w:t>Bahari</w:t>
      </w:r>
      <w:proofErr w:type="spellEnd"/>
      <w:r w:rsidRPr="00A14FD5">
        <w:rPr>
          <w:rFonts w:ascii="Arial" w:hAnsi="Arial" w:cs="Arial"/>
          <w:sz w:val="20"/>
          <w:lang w:val="en-US"/>
        </w:rPr>
        <w:t xml:space="preserve"> is ranked a </w:t>
      </w:r>
      <w:r w:rsidRPr="00A14FD5">
        <w:rPr>
          <w:rFonts w:ascii="Arial" w:hAnsi="Arial" w:cs="Arial"/>
          <w:i/>
          <w:sz w:val="20"/>
          <w:lang w:val="en-US"/>
        </w:rPr>
        <w:t>Legal 500 Leading Individual</w:t>
      </w:r>
      <w:r w:rsidRPr="00A14FD5">
        <w:rPr>
          <w:rFonts w:ascii="Arial" w:hAnsi="Arial" w:cs="Arial"/>
          <w:sz w:val="20"/>
          <w:lang w:val="en-US"/>
        </w:rPr>
        <w:t xml:space="preserve">. </w:t>
      </w:r>
      <w:r w:rsidRPr="00A14FD5">
        <w:rPr>
          <w:rFonts w:ascii="Arial" w:hAnsi="Arial" w:cs="Arial"/>
          <w:i/>
          <w:sz w:val="20"/>
          <w:lang w:val="en-US"/>
        </w:rPr>
        <w:t>Legal 500</w:t>
      </w:r>
      <w:r w:rsidRPr="00A14FD5">
        <w:rPr>
          <w:rFonts w:ascii="Arial" w:hAnsi="Arial" w:cs="Arial"/>
          <w:sz w:val="20"/>
          <w:lang w:val="en-US"/>
        </w:rPr>
        <w:t xml:space="preserve"> described him as “</w:t>
      </w:r>
      <w:r w:rsidRPr="00A14FD5">
        <w:rPr>
          <w:rFonts w:ascii="Arial" w:hAnsi="Arial" w:cs="Arial"/>
          <w:i/>
          <w:sz w:val="20"/>
          <w:lang w:val="en-US"/>
        </w:rPr>
        <w:t>undoubtedly very knowledgeable in his field of practice — his commitment, passion and enthusiasm are commendable</w:t>
      </w:r>
      <w:r w:rsidRPr="00A14FD5">
        <w:rPr>
          <w:rFonts w:ascii="Arial" w:hAnsi="Arial" w:cs="Arial"/>
          <w:sz w:val="20"/>
          <w:lang w:val="en-US"/>
        </w:rPr>
        <w:t>”.</w:t>
      </w:r>
    </w:p>
    <w:p w14:paraId="536AB7B2" w14:textId="77777777" w:rsidR="00E57E86" w:rsidRDefault="00E57E86" w:rsidP="00A14FD5">
      <w:pPr>
        <w:spacing w:after="0"/>
        <w:ind w:left="-180"/>
        <w:rPr>
          <w:rFonts w:ascii="Arial" w:hAnsi="Arial" w:cs="Arial"/>
          <w:i/>
          <w:sz w:val="20"/>
          <w:lang w:val="en-US"/>
        </w:rPr>
      </w:pPr>
    </w:p>
    <w:p w14:paraId="33DA7C8F" w14:textId="7E711620" w:rsidR="00A14FD5" w:rsidRPr="00A14FD5" w:rsidRDefault="00A14FD5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  <w:r w:rsidRPr="00A14FD5">
        <w:rPr>
          <w:rFonts w:ascii="Arial" w:hAnsi="Arial" w:cs="Arial"/>
          <w:i/>
          <w:sz w:val="20"/>
          <w:lang w:val="en-US"/>
        </w:rPr>
        <w:t>Chambers Asia Pacific</w:t>
      </w:r>
      <w:r w:rsidRPr="00A14FD5">
        <w:rPr>
          <w:rFonts w:ascii="Arial" w:hAnsi="Arial" w:cs="Arial"/>
          <w:sz w:val="20"/>
          <w:lang w:val="en-US"/>
        </w:rPr>
        <w:t xml:space="preserve"> who ranks </w:t>
      </w:r>
      <w:proofErr w:type="spellStart"/>
      <w:r w:rsidRPr="00A14FD5">
        <w:rPr>
          <w:rFonts w:ascii="Arial" w:hAnsi="Arial" w:cs="Arial"/>
          <w:sz w:val="20"/>
          <w:lang w:val="en-US"/>
        </w:rPr>
        <w:t>Bahari</w:t>
      </w:r>
      <w:proofErr w:type="spellEnd"/>
      <w:r w:rsidRPr="00A14FD5">
        <w:rPr>
          <w:rFonts w:ascii="Arial" w:hAnsi="Arial" w:cs="Arial"/>
          <w:sz w:val="20"/>
          <w:lang w:val="en-US"/>
        </w:rPr>
        <w:t xml:space="preserve"> as a </w:t>
      </w:r>
      <w:r w:rsidRPr="00A14FD5">
        <w:rPr>
          <w:rFonts w:ascii="Arial" w:hAnsi="Arial" w:cs="Arial"/>
          <w:i/>
          <w:sz w:val="20"/>
          <w:lang w:val="en-US"/>
        </w:rPr>
        <w:t>Ranked Lawyer</w:t>
      </w:r>
      <w:r w:rsidRPr="00A14FD5">
        <w:rPr>
          <w:rFonts w:ascii="Arial" w:hAnsi="Arial" w:cs="Arial"/>
          <w:sz w:val="20"/>
          <w:lang w:val="en-US"/>
        </w:rPr>
        <w:t xml:space="preserve"> described him as “</w:t>
      </w:r>
      <w:r w:rsidRPr="00A14FD5">
        <w:rPr>
          <w:rFonts w:ascii="Arial" w:hAnsi="Arial" w:cs="Arial"/>
          <w:i/>
          <w:sz w:val="20"/>
          <w:lang w:val="en-US"/>
        </w:rPr>
        <w:t>often engaged by leading global and domestic brands on trade mark infringement cases</w:t>
      </w:r>
      <w:r w:rsidRPr="00A14FD5">
        <w:rPr>
          <w:rFonts w:ascii="Arial" w:hAnsi="Arial" w:cs="Arial"/>
          <w:sz w:val="20"/>
          <w:lang w:val="en-US"/>
        </w:rPr>
        <w:t xml:space="preserve">”, </w:t>
      </w:r>
      <w:r w:rsidRPr="00A14FD5">
        <w:rPr>
          <w:rFonts w:ascii="Arial" w:hAnsi="Arial" w:cs="Arial"/>
          <w:i/>
          <w:sz w:val="20"/>
          <w:lang w:val="en-US"/>
        </w:rPr>
        <w:t xml:space="preserve">noted for his expertise in all types of IP litigation”, “particularly hands-on and very conversant with IP matters in Malaysia," </w:t>
      </w:r>
      <w:r w:rsidRPr="00A14FD5">
        <w:rPr>
          <w:rFonts w:ascii="Arial" w:hAnsi="Arial" w:cs="Arial"/>
          <w:sz w:val="20"/>
          <w:lang w:val="en-US"/>
        </w:rPr>
        <w:t>and</w:t>
      </w:r>
      <w:r w:rsidRPr="00A14FD5">
        <w:rPr>
          <w:rFonts w:ascii="Arial" w:hAnsi="Arial" w:cs="Arial"/>
          <w:i/>
          <w:sz w:val="20"/>
          <w:lang w:val="en-US"/>
        </w:rPr>
        <w:t xml:space="preserve"> "customer-centric approach and adaptability to economic changes”</w:t>
      </w:r>
      <w:r w:rsidRPr="00A14FD5">
        <w:rPr>
          <w:rFonts w:ascii="Arial" w:hAnsi="Arial" w:cs="Arial"/>
          <w:sz w:val="20"/>
          <w:lang w:val="en-US"/>
        </w:rPr>
        <w:t>.</w:t>
      </w:r>
    </w:p>
    <w:p w14:paraId="264D4EA9" w14:textId="77777777" w:rsidR="00E57E86" w:rsidRDefault="00E57E86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5FE9464D" w14:textId="4015FB0F" w:rsidR="00A14FD5" w:rsidRPr="00A14FD5" w:rsidRDefault="00A14FD5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  <w:r w:rsidRPr="00A14FD5">
        <w:rPr>
          <w:rFonts w:ascii="Arial" w:hAnsi="Arial" w:cs="Arial"/>
          <w:sz w:val="20"/>
          <w:lang w:val="en-US"/>
        </w:rPr>
        <w:t xml:space="preserve">Due to his humble, approachable but solution driven personality, he was awarded </w:t>
      </w:r>
      <w:r w:rsidRPr="00A14FD5">
        <w:rPr>
          <w:rFonts w:ascii="Arial" w:hAnsi="Arial" w:cs="Arial"/>
          <w:i/>
          <w:sz w:val="20"/>
          <w:lang w:val="en-US"/>
        </w:rPr>
        <w:t>Commended External Counsel of the Year</w:t>
      </w:r>
      <w:r w:rsidRPr="00A14FD5">
        <w:rPr>
          <w:rFonts w:ascii="Arial" w:hAnsi="Arial" w:cs="Arial"/>
          <w:sz w:val="20"/>
          <w:lang w:val="en-US"/>
        </w:rPr>
        <w:t xml:space="preserve"> by </w:t>
      </w:r>
      <w:r w:rsidRPr="00A14FD5">
        <w:rPr>
          <w:rFonts w:ascii="Arial" w:hAnsi="Arial" w:cs="Arial"/>
          <w:i/>
          <w:sz w:val="20"/>
          <w:lang w:val="en-US"/>
        </w:rPr>
        <w:t>In-House Community</w:t>
      </w:r>
      <w:r w:rsidRPr="00A14FD5">
        <w:rPr>
          <w:rFonts w:ascii="Arial" w:hAnsi="Arial" w:cs="Arial"/>
          <w:sz w:val="20"/>
          <w:lang w:val="en-US"/>
        </w:rPr>
        <w:t>.</w:t>
      </w:r>
    </w:p>
    <w:p w14:paraId="757819AE" w14:textId="77777777" w:rsidR="00E57E86" w:rsidRDefault="00E57E86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133AD556" w14:textId="53BBE520" w:rsidR="00A14FD5" w:rsidRDefault="00A14FD5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  <w:r w:rsidRPr="00A14FD5">
        <w:rPr>
          <w:rFonts w:ascii="Arial" w:hAnsi="Arial" w:cs="Arial"/>
          <w:sz w:val="20"/>
          <w:lang w:val="en-US"/>
        </w:rPr>
        <w:t xml:space="preserve">A natural-born litigator, </w:t>
      </w:r>
      <w:proofErr w:type="spellStart"/>
      <w:r w:rsidRPr="00A14FD5">
        <w:rPr>
          <w:rFonts w:ascii="Arial" w:hAnsi="Arial" w:cs="Arial"/>
          <w:sz w:val="20"/>
          <w:lang w:val="en-US"/>
        </w:rPr>
        <w:t>Bahari</w:t>
      </w:r>
      <w:proofErr w:type="spellEnd"/>
      <w:r w:rsidRPr="00A14FD5">
        <w:rPr>
          <w:rFonts w:ascii="Arial" w:hAnsi="Arial" w:cs="Arial"/>
          <w:sz w:val="20"/>
          <w:lang w:val="en-US"/>
        </w:rPr>
        <w:t xml:space="preserve"> brings with him years of litigation experience applied onto the field of Intellectual Property. </w:t>
      </w:r>
      <w:proofErr w:type="spellStart"/>
      <w:r w:rsidRPr="00A14FD5">
        <w:rPr>
          <w:rFonts w:ascii="Arial" w:hAnsi="Arial" w:cs="Arial"/>
          <w:sz w:val="20"/>
          <w:lang w:val="en-US"/>
        </w:rPr>
        <w:t>Bahari</w:t>
      </w:r>
      <w:proofErr w:type="spellEnd"/>
      <w:r w:rsidRPr="00A14FD5">
        <w:rPr>
          <w:rFonts w:ascii="Arial" w:hAnsi="Arial" w:cs="Arial"/>
          <w:sz w:val="20"/>
          <w:lang w:val="en-US"/>
        </w:rPr>
        <w:t xml:space="preserve"> and his teams advise on every aspect of Intellectual Property.</w:t>
      </w:r>
    </w:p>
    <w:p w14:paraId="6A51CEAB" w14:textId="5F72725A" w:rsidR="00E60C8B" w:rsidRDefault="00E60C8B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0996ADD9" w14:textId="4FA84C7F" w:rsidR="00E60C8B" w:rsidRDefault="00E60C8B" w:rsidP="00E60C8B">
      <w:pPr>
        <w:spacing w:after="0"/>
        <w:ind w:left="-180"/>
        <w:rPr>
          <w:rFonts w:ascii="Arial" w:hAnsi="Arial" w:cs="Arial"/>
          <w:sz w:val="20"/>
          <w:lang w:val="en-US"/>
        </w:rPr>
      </w:pPr>
      <w:proofErr w:type="spellStart"/>
      <w:r w:rsidRPr="00E60C8B">
        <w:rPr>
          <w:rFonts w:ascii="Arial" w:hAnsi="Arial" w:cs="Arial"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sz w:val="20"/>
          <w:lang w:val="en-US"/>
        </w:rPr>
        <w:t xml:space="preserve"> has been invited to speak at numerous events including talks, lectures and discussions organized by </w:t>
      </w:r>
      <w:proofErr w:type="spellStart"/>
      <w:r w:rsidRPr="00E60C8B">
        <w:rPr>
          <w:rFonts w:ascii="Arial" w:hAnsi="Arial" w:cs="Arial"/>
          <w:sz w:val="20"/>
          <w:lang w:val="en-US"/>
        </w:rPr>
        <w:t>Lawasia</w:t>
      </w:r>
      <w:proofErr w:type="spellEnd"/>
      <w:r w:rsidRPr="00E60C8B">
        <w:rPr>
          <w:rFonts w:ascii="Arial" w:hAnsi="Arial" w:cs="Arial"/>
          <w:sz w:val="20"/>
          <w:lang w:val="en-US"/>
        </w:rPr>
        <w:t xml:space="preserve"> IP, the International Malaysian Law Conference, Legal 500, Malaysian Intellectual Property Association, Asian International Arbitration Center, Institute for Democracy and Economic Affairs, University Malaya, the Malaysian Bar and State Bars.</w:t>
      </w:r>
    </w:p>
    <w:p w14:paraId="068B7CC8" w14:textId="77777777" w:rsidR="00E60C8B" w:rsidRPr="00E60C8B" w:rsidRDefault="00E60C8B" w:rsidP="00E60C8B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74980F95" w14:textId="77777777" w:rsidR="00E60C8B" w:rsidRPr="00E60C8B" w:rsidRDefault="00E60C8B" w:rsidP="00E60C8B">
      <w:pPr>
        <w:spacing w:after="0"/>
        <w:ind w:left="-180"/>
        <w:rPr>
          <w:rFonts w:ascii="Arial" w:hAnsi="Arial" w:cs="Arial"/>
          <w:sz w:val="20"/>
          <w:lang w:val="en-US"/>
        </w:rPr>
      </w:pPr>
      <w:proofErr w:type="spellStart"/>
      <w:r w:rsidRPr="00E60C8B">
        <w:rPr>
          <w:rFonts w:ascii="Arial" w:hAnsi="Arial" w:cs="Arial"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sz w:val="20"/>
          <w:lang w:val="en-US"/>
        </w:rPr>
        <w:t xml:space="preserve"> is a qualified patent, </w:t>
      </w:r>
      <w:proofErr w:type="gramStart"/>
      <w:r w:rsidRPr="00E60C8B">
        <w:rPr>
          <w:rFonts w:ascii="Arial" w:hAnsi="Arial" w:cs="Arial"/>
          <w:sz w:val="20"/>
          <w:lang w:val="en-US"/>
        </w:rPr>
        <w:t>trade mark</w:t>
      </w:r>
      <w:proofErr w:type="gramEnd"/>
      <w:r w:rsidRPr="00E60C8B">
        <w:rPr>
          <w:rFonts w:ascii="Arial" w:hAnsi="Arial" w:cs="Arial"/>
          <w:sz w:val="20"/>
          <w:lang w:val="en-US"/>
        </w:rPr>
        <w:t xml:space="preserve"> and industrial design agent. He also sits as a </w:t>
      </w:r>
      <w:proofErr w:type="spellStart"/>
      <w:r w:rsidRPr="00E60C8B">
        <w:rPr>
          <w:rFonts w:ascii="Arial" w:hAnsi="Arial" w:cs="Arial"/>
          <w:sz w:val="20"/>
          <w:lang w:val="en-US"/>
        </w:rPr>
        <w:t>Panellist</w:t>
      </w:r>
      <w:proofErr w:type="spellEnd"/>
      <w:r w:rsidRPr="00E60C8B">
        <w:rPr>
          <w:rFonts w:ascii="Arial" w:hAnsi="Arial" w:cs="Arial"/>
          <w:sz w:val="20"/>
          <w:lang w:val="en-US"/>
        </w:rPr>
        <w:t xml:space="preserve"> at the Asian International Arbitration Centre (Domain Name Dispute Resolution). He currently serves as a member of the Group Standing Committee for Copyright (2015-2018) of the Asian Patent Attorney Association (APAA) Malaysia.</w:t>
      </w:r>
    </w:p>
    <w:p w14:paraId="4499C6AE" w14:textId="44ADEB36" w:rsidR="00E60C8B" w:rsidRDefault="00E60C8B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5F255DB8" w14:textId="37893349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25815063" w14:textId="6CF5A9C6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277EF988" w14:textId="4D379FC3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69F8CF02" w14:textId="092A7165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3C4CF839" w14:textId="6FDB75F3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5148E3E9" w14:textId="745C4C90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13F2383C" w14:textId="4E641C74" w:rsidR="00503598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71A472FE" w14:textId="77777777" w:rsidR="00503598" w:rsidRPr="00A14FD5" w:rsidRDefault="00503598" w:rsidP="00A14FD5">
      <w:pPr>
        <w:spacing w:after="0"/>
        <w:ind w:left="-180"/>
        <w:rPr>
          <w:rFonts w:ascii="Arial" w:hAnsi="Arial" w:cs="Arial"/>
          <w:sz w:val="20"/>
          <w:lang w:val="en-US"/>
        </w:rPr>
      </w:pPr>
    </w:p>
    <w:p w14:paraId="7E55EAFC" w14:textId="7FF4AE54" w:rsidR="00C5174D" w:rsidRDefault="00555D39" w:rsidP="00C5174D">
      <w:pPr>
        <w:spacing w:after="0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bookmarkStart w:id="0" w:name="_Hlk43893291"/>
    </w:p>
    <w:p w14:paraId="0D4F18AC" w14:textId="66CD6169" w:rsidR="00C5174D" w:rsidRPr="00C5174D" w:rsidRDefault="00C5174D" w:rsidP="00C5174D">
      <w:pPr>
        <w:spacing w:after="0"/>
        <w:ind w:left="-180"/>
        <w:rPr>
          <w:rFonts w:ascii="Arial" w:hAnsi="Arial" w:cs="Arial"/>
          <w:b/>
          <w:bCs/>
          <w:sz w:val="22"/>
          <w:szCs w:val="22"/>
        </w:rPr>
      </w:pPr>
      <w:r w:rsidRPr="00C5174D">
        <w:rPr>
          <w:rFonts w:ascii="Arial" w:hAnsi="Arial" w:cs="Arial"/>
          <w:b/>
          <w:bCs/>
          <w:sz w:val="22"/>
          <w:szCs w:val="22"/>
        </w:rPr>
        <w:t>PRACTICE AREAS</w:t>
      </w:r>
    </w:p>
    <w:p w14:paraId="4B13E4D2" w14:textId="3EE0C6B0" w:rsidR="00555D39" w:rsidRDefault="00555D39" w:rsidP="00555D39">
      <w:pPr>
        <w:pStyle w:val="ListParagraph"/>
        <w:numPr>
          <w:ilvl w:val="0"/>
          <w:numId w:val="4"/>
        </w:numPr>
        <w:spacing w:after="0"/>
        <w:ind w:left="180"/>
        <w:rPr>
          <w:rFonts w:ascii="Arial" w:hAnsi="Arial" w:cs="Arial"/>
          <w:sz w:val="22"/>
          <w:szCs w:val="22"/>
        </w:rPr>
      </w:pPr>
      <w:r w:rsidRPr="00555D39">
        <w:rPr>
          <w:rFonts w:ascii="Arial" w:hAnsi="Arial" w:cs="Arial"/>
          <w:sz w:val="22"/>
          <w:szCs w:val="22"/>
        </w:rPr>
        <w:t>Dispute Resolution</w:t>
      </w:r>
    </w:p>
    <w:p w14:paraId="50332AED" w14:textId="0A8C5528" w:rsidR="00E60C8B" w:rsidRPr="00555D39" w:rsidRDefault="00E60C8B" w:rsidP="00555D39">
      <w:pPr>
        <w:pStyle w:val="ListParagraph"/>
        <w:numPr>
          <w:ilvl w:val="0"/>
          <w:numId w:val="4"/>
        </w:numPr>
        <w:spacing w:after="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Intellectual Property</w:t>
      </w:r>
    </w:p>
    <w:p w14:paraId="68258131" w14:textId="41A683B0" w:rsidR="00555D39" w:rsidRDefault="00555D39" w:rsidP="00C5174D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2C16CF95" w14:textId="77777777" w:rsidR="00E60C8B" w:rsidRDefault="00E60C8B" w:rsidP="00C5174D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354E070B" w14:textId="6B27C00D" w:rsidR="00555D39" w:rsidRPr="00555D39" w:rsidRDefault="00555D39" w:rsidP="00555D39">
      <w:pPr>
        <w:spacing w:after="0"/>
        <w:ind w:left="-180"/>
        <w:rPr>
          <w:rFonts w:ascii="Arial" w:hAnsi="Arial" w:cs="Arial"/>
          <w:b/>
          <w:bCs/>
          <w:sz w:val="22"/>
          <w:szCs w:val="22"/>
        </w:rPr>
      </w:pPr>
      <w:r w:rsidRPr="00555D39">
        <w:rPr>
          <w:rFonts w:ascii="Arial" w:hAnsi="Arial" w:cs="Arial"/>
          <w:b/>
          <w:bCs/>
          <w:sz w:val="22"/>
          <w:szCs w:val="22"/>
        </w:rPr>
        <w:t>ADMISSION</w:t>
      </w:r>
    </w:p>
    <w:p w14:paraId="518486AA" w14:textId="01DA24E6" w:rsidR="00555D39" w:rsidRPr="007A0269" w:rsidRDefault="00555D39" w:rsidP="00555D39">
      <w:pPr>
        <w:spacing w:after="0"/>
        <w:ind w:left="-180"/>
        <w:rPr>
          <w:rFonts w:ascii="Arial" w:hAnsi="Arial" w:cs="Arial"/>
          <w:sz w:val="20"/>
        </w:rPr>
      </w:pPr>
      <w:r w:rsidRPr="007A0269">
        <w:rPr>
          <w:rFonts w:ascii="Arial" w:hAnsi="Arial" w:cs="Arial"/>
          <w:sz w:val="20"/>
        </w:rPr>
        <w:t>Advocate and Solicitor of the High Court of Malaya</w:t>
      </w:r>
    </w:p>
    <w:p w14:paraId="0B36F691" w14:textId="21100D85" w:rsidR="00555D39" w:rsidRDefault="00555D39" w:rsidP="00555D39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7FE36248" w14:textId="77777777" w:rsidR="00E60C8B" w:rsidRPr="00EC411B" w:rsidRDefault="00E60C8B" w:rsidP="00555D39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1DF52FCD" w14:textId="79E5BBBD" w:rsidR="00555D39" w:rsidRDefault="00EC411B" w:rsidP="00555D39">
      <w:pPr>
        <w:spacing w:after="0"/>
        <w:ind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18"/>
        </w:rPr>
        <w:t>QUALIFICATION</w:t>
      </w:r>
    </w:p>
    <w:p w14:paraId="50A86A55" w14:textId="684803CB" w:rsidR="00E60C8B" w:rsidRPr="00503598" w:rsidRDefault="00E60C8B" w:rsidP="00503598">
      <w:pPr>
        <w:pStyle w:val="ListParagraph"/>
        <w:numPr>
          <w:ilvl w:val="0"/>
          <w:numId w:val="26"/>
        </w:numPr>
        <w:spacing w:after="0"/>
        <w:ind w:left="180"/>
        <w:rPr>
          <w:rFonts w:ascii="Arial" w:hAnsi="Arial" w:cs="Arial"/>
          <w:sz w:val="20"/>
        </w:rPr>
      </w:pPr>
      <w:r w:rsidRPr="00503598">
        <w:rPr>
          <w:rFonts w:ascii="Arial" w:hAnsi="Arial" w:cs="Arial"/>
          <w:sz w:val="20"/>
        </w:rPr>
        <w:t>LLM, University of Malaya</w:t>
      </w:r>
    </w:p>
    <w:p w14:paraId="0D711268" w14:textId="20886E36" w:rsidR="00555D39" w:rsidRDefault="00555D39" w:rsidP="00503598">
      <w:pPr>
        <w:pStyle w:val="ListParagraph"/>
        <w:numPr>
          <w:ilvl w:val="0"/>
          <w:numId w:val="26"/>
        </w:numPr>
        <w:spacing w:after="0"/>
        <w:ind w:left="180"/>
        <w:rPr>
          <w:rFonts w:ascii="Arial" w:hAnsi="Arial" w:cs="Arial"/>
          <w:sz w:val="20"/>
        </w:rPr>
      </w:pPr>
      <w:proofErr w:type="gramStart"/>
      <w:r w:rsidRPr="00503598">
        <w:rPr>
          <w:rFonts w:ascii="Arial" w:hAnsi="Arial" w:cs="Arial"/>
          <w:sz w:val="20"/>
        </w:rPr>
        <w:t>LL.B</w:t>
      </w:r>
      <w:proofErr w:type="gramEnd"/>
      <w:r w:rsidRPr="00503598">
        <w:rPr>
          <w:rFonts w:ascii="Arial" w:hAnsi="Arial" w:cs="Arial"/>
          <w:sz w:val="20"/>
        </w:rPr>
        <w:t xml:space="preserve"> (Hons), University of Nottingham </w:t>
      </w:r>
    </w:p>
    <w:p w14:paraId="2CF8C417" w14:textId="3688B8C8" w:rsidR="00691336" w:rsidRPr="00503598" w:rsidRDefault="00691336" w:rsidP="00503598">
      <w:pPr>
        <w:pStyle w:val="ListParagraph"/>
        <w:numPr>
          <w:ilvl w:val="0"/>
          <w:numId w:val="26"/>
        </w:numPr>
        <w:spacing w:after="0"/>
        <w:ind w:left="180"/>
        <w:rPr>
          <w:rFonts w:ascii="Arial" w:hAnsi="Arial" w:cs="Arial"/>
          <w:sz w:val="20"/>
        </w:rPr>
      </w:pPr>
      <w:bookmarkStart w:id="1" w:name="_Hlk43925919"/>
      <w:r>
        <w:rPr>
          <w:rFonts w:ascii="Arial" w:hAnsi="Arial" w:cs="Arial"/>
          <w:sz w:val="20"/>
        </w:rPr>
        <w:t>Certificate in Legal Practice</w:t>
      </w:r>
    </w:p>
    <w:bookmarkEnd w:id="1"/>
    <w:p w14:paraId="72413C38" w14:textId="513E627C" w:rsidR="00555D39" w:rsidRDefault="00555D39" w:rsidP="00C5174D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6155127A" w14:textId="77777777" w:rsidR="00E60C8B" w:rsidRDefault="00E60C8B" w:rsidP="00C5174D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15B30A1E" w14:textId="33B80249" w:rsidR="00EC411B" w:rsidRDefault="00EC411B" w:rsidP="00EC411B">
      <w:pPr>
        <w:spacing w:after="0"/>
        <w:ind w:left="-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18"/>
        </w:rPr>
        <w:t xml:space="preserve">LANGUAGE </w:t>
      </w:r>
    </w:p>
    <w:p w14:paraId="67CCF70E" w14:textId="223E8688" w:rsidR="00EC411B" w:rsidRDefault="00EC411B" w:rsidP="00C5174D">
      <w:pPr>
        <w:spacing w:after="0"/>
        <w:ind w:left="-180"/>
        <w:rPr>
          <w:rFonts w:ascii="Arial" w:hAnsi="Arial" w:cs="Arial"/>
          <w:sz w:val="22"/>
          <w:szCs w:val="22"/>
        </w:rPr>
      </w:pPr>
      <w:r w:rsidRPr="007A0269">
        <w:rPr>
          <w:rFonts w:ascii="Arial" w:hAnsi="Arial" w:cs="Arial"/>
          <w:sz w:val="20"/>
        </w:rPr>
        <w:t>English, Malay</w:t>
      </w:r>
      <w:r w:rsidR="00E60C8B">
        <w:rPr>
          <w:rFonts w:ascii="Arial" w:hAnsi="Arial" w:cs="Arial"/>
          <w:sz w:val="20"/>
        </w:rPr>
        <w:t>, Chinese</w:t>
      </w:r>
      <w:r w:rsidRPr="007A0269">
        <w:rPr>
          <w:rFonts w:ascii="Arial" w:hAnsi="Arial" w:cs="Arial"/>
          <w:sz w:val="20"/>
        </w:rPr>
        <w:t xml:space="preserve"> </w:t>
      </w:r>
    </w:p>
    <w:bookmarkEnd w:id="0"/>
    <w:p w14:paraId="467748EB" w14:textId="3CB4311D" w:rsidR="00EC411B" w:rsidRDefault="00EC411B" w:rsidP="00C5174D">
      <w:pPr>
        <w:spacing w:after="0"/>
        <w:ind w:left="-180"/>
        <w:rPr>
          <w:rFonts w:ascii="Arial" w:hAnsi="Arial" w:cs="Arial"/>
          <w:sz w:val="22"/>
          <w:szCs w:val="22"/>
        </w:rPr>
        <w:sectPr w:rsidR="00EC411B" w:rsidSect="00555D39">
          <w:type w:val="continuous"/>
          <w:pgSz w:w="11906" w:h="16838"/>
          <w:pgMar w:top="1440" w:right="1440" w:bottom="1440" w:left="1440" w:header="720" w:footer="720" w:gutter="0"/>
          <w:cols w:num="2" w:space="720" w:equalWidth="0">
            <w:col w:w="5780" w:space="708"/>
            <w:col w:w="2536"/>
          </w:cols>
          <w:docGrid w:linePitch="360"/>
        </w:sectPr>
      </w:pPr>
    </w:p>
    <w:p w14:paraId="4475108A" w14:textId="17FC02E6" w:rsidR="00C5174D" w:rsidRDefault="00C5174D" w:rsidP="00C5174D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5D557718" w14:textId="77777777" w:rsidR="00555D39" w:rsidRDefault="00555D39" w:rsidP="00C5174D">
      <w:pPr>
        <w:spacing w:after="0"/>
        <w:ind w:left="-180"/>
        <w:rPr>
          <w:rFonts w:ascii="Arial" w:hAnsi="Arial" w:cs="Arial"/>
          <w:sz w:val="22"/>
          <w:szCs w:val="22"/>
        </w:rPr>
        <w:sectPr w:rsidR="00555D39" w:rsidSect="00555D39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A07F956" w14:textId="7347A927" w:rsidR="00C5174D" w:rsidRDefault="00C5174D" w:rsidP="00555D39">
      <w:pPr>
        <w:pBdr>
          <w:top w:val="single" w:sz="4" w:space="1" w:color="auto"/>
        </w:pBdr>
        <w:spacing w:after="0"/>
        <w:ind w:left="-180"/>
        <w:rPr>
          <w:rFonts w:ascii="Arial" w:hAnsi="Arial" w:cs="Arial"/>
          <w:sz w:val="22"/>
          <w:szCs w:val="22"/>
        </w:rPr>
      </w:pPr>
    </w:p>
    <w:p w14:paraId="3A8E6AFD" w14:textId="77777777" w:rsidR="00555D39" w:rsidRDefault="00555D39" w:rsidP="00555D39">
      <w:pPr>
        <w:spacing w:after="0"/>
        <w:ind w:left="-180"/>
        <w:rPr>
          <w:rFonts w:ascii="Arial" w:hAnsi="Arial" w:cs="Arial"/>
          <w:b/>
          <w:bCs/>
          <w:szCs w:val="24"/>
        </w:rPr>
      </w:pPr>
      <w:bookmarkStart w:id="2" w:name="_Hlk43893409"/>
      <w:r>
        <w:rPr>
          <w:rFonts w:ascii="Arial" w:hAnsi="Arial" w:cs="Arial"/>
          <w:b/>
          <w:bCs/>
          <w:szCs w:val="24"/>
        </w:rPr>
        <w:t>RELEVANT EXPERIENCE</w:t>
      </w:r>
    </w:p>
    <w:p w14:paraId="04AB4B13" w14:textId="77777777" w:rsidR="00555D39" w:rsidRDefault="00555D39" w:rsidP="00555D39">
      <w:pPr>
        <w:spacing w:after="0"/>
        <w:ind w:left="-180"/>
        <w:rPr>
          <w:rFonts w:ascii="Arial" w:hAnsi="Arial" w:cs="Arial"/>
          <w:sz w:val="20"/>
        </w:rPr>
      </w:pPr>
    </w:p>
    <w:p w14:paraId="3A6BBF3E" w14:textId="74B774CE" w:rsidR="00555D39" w:rsidRDefault="00555D39" w:rsidP="00555D39">
      <w:pPr>
        <w:spacing w:after="0"/>
        <w:ind w:left="-180"/>
        <w:rPr>
          <w:rFonts w:ascii="Arial" w:hAnsi="Arial" w:cs="Arial"/>
          <w:sz w:val="20"/>
        </w:rPr>
      </w:pPr>
      <w:r w:rsidRPr="00503598">
        <w:rPr>
          <w:rFonts w:ascii="Arial" w:hAnsi="Arial" w:cs="Arial"/>
          <w:sz w:val="20"/>
        </w:rPr>
        <w:t xml:space="preserve">Some significant matters which </w:t>
      </w:r>
      <w:proofErr w:type="spellStart"/>
      <w:r w:rsidR="00E60C8B" w:rsidRPr="00503598">
        <w:rPr>
          <w:rFonts w:ascii="Arial" w:hAnsi="Arial" w:cs="Arial"/>
          <w:sz w:val="20"/>
        </w:rPr>
        <w:t>Bahari</w:t>
      </w:r>
      <w:proofErr w:type="spellEnd"/>
      <w:r w:rsidR="00E60C8B" w:rsidRPr="00503598">
        <w:rPr>
          <w:rFonts w:ascii="Arial" w:hAnsi="Arial" w:cs="Arial"/>
          <w:sz w:val="20"/>
        </w:rPr>
        <w:t xml:space="preserve"> </w:t>
      </w:r>
      <w:r w:rsidRPr="00503598">
        <w:rPr>
          <w:rFonts w:ascii="Arial" w:hAnsi="Arial" w:cs="Arial"/>
          <w:sz w:val="20"/>
        </w:rPr>
        <w:t>ha</w:t>
      </w:r>
      <w:r w:rsidR="00503598">
        <w:rPr>
          <w:rFonts w:ascii="Arial" w:hAnsi="Arial" w:cs="Arial"/>
          <w:sz w:val="20"/>
        </w:rPr>
        <w:t>s</w:t>
      </w:r>
      <w:r w:rsidRPr="00503598">
        <w:rPr>
          <w:rFonts w:ascii="Arial" w:hAnsi="Arial" w:cs="Arial"/>
          <w:sz w:val="20"/>
        </w:rPr>
        <w:t xml:space="preserve"> involved in:</w:t>
      </w:r>
    </w:p>
    <w:bookmarkEnd w:id="2"/>
    <w:p w14:paraId="1F311F67" w14:textId="41EE65D6" w:rsidR="00555D39" w:rsidRDefault="00555D39" w:rsidP="00555D39">
      <w:pPr>
        <w:spacing w:after="0"/>
        <w:ind w:left="-180"/>
        <w:rPr>
          <w:rFonts w:ascii="Arial" w:hAnsi="Arial" w:cs="Arial"/>
          <w:sz w:val="22"/>
          <w:szCs w:val="22"/>
        </w:rPr>
      </w:pPr>
    </w:p>
    <w:p w14:paraId="52204D91" w14:textId="77777777" w:rsidR="00930F0E" w:rsidRPr="007C23BD" w:rsidRDefault="00930F0E" w:rsidP="00930F0E">
      <w:pPr>
        <w:spacing w:after="0"/>
        <w:ind w:left="720"/>
        <w:rPr>
          <w:rFonts w:ascii="Arial" w:hAnsi="Arial" w:cs="Arial"/>
          <w:sz w:val="20"/>
          <w:lang w:val="en-MY"/>
        </w:rPr>
      </w:pPr>
    </w:p>
    <w:p w14:paraId="3C4C8D24" w14:textId="5FCF7345" w:rsidR="00930F0E" w:rsidRDefault="00930F0E" w:rsidP="00930F0E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 xml:space="preserve">Acted for </w:t>
      </w:r>
      <w:r w:rsidRPr="007C23BD">
        <w:rPr>
          <w:rFonts w:ascii="Arial" w:hAnsi="Arial" w:cs="Arial"/>
          <w:sz w:val="20"/>
          <w:lang w:val="en-MY"/>
        </w:rPr>
        <w:t>a major manufacturer and distributor of laser-guided bombs on a high-profile trademark expungement case.</w:t>
      </w:r>
    </w:p>
    <w:p w14:paraId="34860C10" w14:textId="77777777" w:rsidR="00930F0E" w:rsidRPr="007C23BD" w:rsidRDefault="00930F0E" w:rsidP="00930F0E">
      <w:pPr>
        <w:spacing w:after="0"/>
        <w:ind w:left="720"/>
        <w:rPr>
          <w:rFonts w:ascii="Arial" w:hAnsi="Arial" w:cs="Arial"/>
          <w:sz w:val="20"/>
          <w:lang w:val="en-MY"/>
        </w:rPr>
      </w:pPr>
    </w:p>
    <w:p w14:paraId="59669A28" w14:textId="5282EFF9" w:rsidR="00930F0E" w:rsidRDefault="00930F0E" w:rsidP="007C23BD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 xml:space="preserve">Represents a cigarette and tobacco manufacturing company in an action which forms part of a multi-jurisdictional feud against an infringing mark. </w:t>
      </w:r>
    </w:p>
    <w:p w14:paraId="5034E2DF" w14:textId="77777777" w:rsidR="00930F0E" w:rsidRDefault="00930F0E" w:rsidP="00930F0E">
      <w:pPr>
        <w:pStyle w:val="ListParagraph"/>
        <w:rPr>
          <w:rFonts w:ascii="Arial" w:hAnsi="Arial" w:cs="Arial"/>
          <w:sz w:val="20"/>
          <w:lang w:val="en-MY"/>
        </w:rPr>
      </w:pPr>
    </w:p>
    <w:p w14:paraId="38D0944E" w14:textId="456994A3" w:rsidR="00930F0E" w:rsidRDefault="00930F0E" w:rsidP="007C23BD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 xml:space="preserve">Acting for an embassy to protect the use of the country name in trademark registration to preserve the integrity and global recognition of goods or services sourced from the country. </w:t>
      </w:r>
    </w:p>
    <w:p w14:paraId="34D63CB8" w14:textId="77777777" w:rsidR="00930F0E" w:rsidRDefault="00930F0E" w:rsidP="00930F0E">
      <w:pPr>
        <w:pStyle w:val="ListParagraph"/>
        <w:rPr>
          <w:rFonts w:ascii="Arial" w:hAnsi="Arial" w:cs="Arial"/>
          <w:sz w:val="20"/>
          <w:lang w:val="en-MY"/>
        </w:rPr>
      </w:pPr>
    </w:p>
    <w:p w14:paraId="20A80696" w14:textId="19E42428" w:rsidR="00DF7DEB" w:rsidRDefault="00DF7DEB" w:rsidP="007C23BD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>Acted for a multinational technology company in a</w:t>
      </w:r>
      <w:r w:rsidR="00D94295">
        <w:rPr>
          <w:rFonts w:ascii="Arial" w:hAnsi="Arial" w:cs="Arial"/>
          <w:sz w:val="20"/>
          <w:lang w:val="en-MY"/>
        </w:rPr>
        <w:t xml:space="preserve"> passing off action against</w:t>
      </w:r>
      <w:r>
        <w:rPr>
          <w:rFonts w:ascii="Arial" w:hAnsi="Arial" w:cs="Arial"/>
          <w:sz w:val="20"/>
          <w:lang w:val="en-MY"/>
        </w:rPr>
        <w:t xml:space="preserve"> the largest watchmaker group in the world</w:t>
      </w:r>
    </w:p>
    <w:p w14:paraId="4AE5C9F1" w14:textId="77777777" w:rsidR="00930F0E" w:rsidRDefault="00930F0E" w:rsidP="00930F0E">
      <w:pPr>
        <w:pStyle w:val="ListParagraph"/>
        <w:rPr>
          <w:rFonts w:ascii="Arial" w:hAnsi="Arial" w:cs="Arial"/>
          <w:sz w:val="20"/>
          <w:lang w:val="en-MY"/>
        </w:rPr>
      </w:pPr>
    </w:p>
    <w:p w14:paraId="5EEA8AF4" w14:textId="3028A532" w:rsidR="00930F0E" w:rsidRPr="007C23BD" w:rsidRDefault="00930F0E" w:rsidP="00930F0E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 w:rsidRPr="007C23BD">
        <w:rPr>
          <w:rFonts w:ascii="Arial" w:hAnsi="Arial" w:cs="Arial"/>
          <w:sz w:val="20"/>
          <w:lang w:val="en-MY"/>
        </w:rPr>
        <w:t>Acted for the largest</w:t>
      </w:r>
      <w:r>
        <w:rPr>
          <w:rFonts w:ascii="Arial" w:hAnsi="Arial" w:cs="Arial"/>
          <w:sz w:val="20"/>
          <w:lang w:val="en-MY"/>
        </w:rPr>
        <w:t xml:space="preserve"> US-based</w:t>
      </w:r>
      <w:r w:rsidRPr="007C23BD">
        <w:rPr>
          <w:rFonts w:ascii="Arial" w:hAnsi="Arial" w:cs="Arial"/>
          <w:sz w:val="20"/>
          <w:lang w:val="en-MY"/>
        </w:rPr>
        <w:t xml:space="preserve"> pharmaceutical company in the</w:t>
      </w:r>
      <w:r>
        <w:rPr>
          <w:rFonts w:ascii="Arial" w:hAnsi="Arial" w:cs="Arial"/>
          <w:sz w:val="20"/>
          <w:lang w:val="en-MY"/>
        </w:rPr>
        <w:t>ir</w:t>
      </w:r>
      <w:r w:rsidRPr="007C23BD">
        <w:rPr>
          <w:rFonts w:ascii="Arial" w:hAnsi="Arial" w:cs="Arial"/>
          <w:sz w:val="20"/>
          <w:lang w:val="en-MY"/>
        </w:rPr>
        <w:t xml:space="preserve"> worldwide proposed disposal of consumer healthcare business.</w:t>
      </w:r>
    </w:p>
    <w:p w14:paraId="66E189DB" w14:textId="77777777" w:rsidR="00930F0E" w:rsidRPr="007C23BD" w:rsidRDefault="00930F0E" w:rsidP="00930F0E">
      <w:pPr>
        <w:spacing w:after="0"/>
        <w:ind w:left="720"/>
        <w:rPr>
          <w:rFonts w:ascii="Arial" w:hAnsi="Arial" w:cs="Arial"/>
          <w:sz w:val="20"/>
          <w:lang w:val="en-MY"/>
        </w:rPr>
      </w:pPr>
    </w:p>
    <w:p w14:paraId="757280E1" w14:textId="77777777" w:rsidR="00930F0E" w:rsidRDefault="00930F0E" w:rsidP="00930F0E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 w:rsidRPr="007C23BD">
        <w:rPr>
          <w:rFonts w:ascii="Arial" w:hAnsi="Arial" w:cs="Arial"/>
          <w:sz w:val="20"/>
          <w:lang w:val="en-MY"/>
        </w:rPr>
        <w:t>A</w:t>
      </w:r>
      <w:r>
        <w:rPr>
          <w:rFonts w:ascii="Arial" w:hAnsi="Arial" w:cs="Arial"/>
          <w:sz w:val="20"/>
          <w:lang w:val="en-MY"/>
        </w:rPr>
        <w:t>cted for a reputable international arbitration centre in a domain name dispute concerning the registration of a domain using its former name to pass off as an organisation providing arbitration and dispute resolution services</w:t>
      </w:r>
    </w:p>
    <w:p w14:paraId="03083AC1" w14:textId="77777777" w:rsidR="00930F0E" w:rsidRDefault="00930F0E" w:rsidP="00930F0E">
      <w:pPr>
        <w:spacing w:after="0"/>
        <w:ind w:left="720"/>
        <w:rPr>
          <w:rFonts w:ascii="Arial" w:hAnsi="Arial" w:cs="Arial"/>
          <w:sz w:val="20"/>
          <w:lang w:val="en-MY"/>
        </w:rPr>
      </w:pPr>
    </w:p>
    <w:p w14:paraId="6DC2A2AD" w14:textId="77777777" w:rsidR="00930F0E" w:rsidRPr="006C55BE" w:rsidRDefault="00930F0E" w:rsidP="00930F0E">
      <w:pPr>
        <w:numPr>
          <w:ilvl w:val="0"/>
          <w:numId w:val="23"/>
        </w:numPr>
        <w:spacing w:after="0"/>
        <w:rPr>
          <w:rFonts w:ascii="Arial" w:hAnsi="Arial" w:cs="Arial"/>
          <w:sz w:val="20"/>
          <w:lang w:val="en-MY"/>
        </w:rPr>
      </w:pPr>
      <w:r w:rsidRPr="007C23BD">
        <w:rPr>
          <w:rFonts w:ascii="Arial" w:hAnsi="Arial" w:cs="Arial"/>
          <w:sz w:val="20"/>
          <w:lang w:val="en-MY"/>
        </w:rPr>
        <w:t xml:space="preserve">Drafted celebrity endorsement agreements for a company in </w:t>
      </w:r>
      <w:r>
        <w:rPr>
          <w:rFonts w:ascii="Arial" w:hAnsi="Arial" w:cs="Arial"/>
          <w:sz w:val="20"/>
          <w:lang w:val="en-MY"/>
        </w:rPr>
        <w:t xml:space="preserve">the media and entertainment industry in </w:t>
      </w:r>
      <w:r w:rsidRPr="007C23BD">
        <w:rPr>
          <w:rFonts w:ascii="Arial" w:hAnsi="Arial" w:cs="Arial"/>
          <w:sz w:val="20"/>
          <w:lang w:val="en-MY"/>
        </w:rPr>
        <w:t>Malaysia</w:t>
      </w:r>
      <w:r>
        <w:rPr>
          <w:rFonts w:ascii="Arial" w:hAnsi="Arial" w:cs="Arial"/>
          <w:sz w:val="20"/>
          <w:lang w:val="en-MY"/>
        </w:rPr>
        <w:t>.</w:t>
      </w:r>
    </w:p>
    <w:p w14:paraId="07093BFF" w14:textId="77777777" w:rsidR="00DF7DEB" w:rsidRDefault="00DF7DEB" w:rsidP="00DF7DEB">
      <w:pPr>
        <w:pStyle w:val="ListParagraph"/>
        <w:rPr>
          <w:rFonts w:ascii="Arial" w:hAnsi="Arial" w:cs="Arial"/>
          <w:sz w:val="20"/>
          <w:lang w:val="en-MY"/>
        </w:rPr>
      </w:pPr>
    </w:p>
    <w:p w14:paraId="4C75D5F1" w14:textId="42800861" w:rsidR="007C23BD" w:rsidRPr="007C23BD" w:rsidRDefault="005F1AB6" w:rsidP="007C23BD">
      <w:pPr>
        <w:numPr>
          <w:ilvl w:val="0"/>
          <w:numId w:val="20"/>
        </w:numPr>
        <w:spacing w:after="0"/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>Manag</w:t>
      </w:r>
      <w:r w:rsidR="00D94295">
        <w:rPr>
          <w:rFonts w:ascii="Arial" w:hAnsi="Arial" w:cs="Arial"/>
          <w:sz w:val="20"/>
          <w:lang w:val="en-MY"/>
        </w:rPr>
        <w:t>es</w:t>
      </w:r>
      <w:r w:rsidR="007C23BD" w:rsidRPr="007C23BD">
        <w:rPr>
          <w:rFonts w:ascii="Arial" w:hAnsi="Arial" w:cs="Arial"/>
          <w:sz w:val="20"/>
          <w:lang w:val="en-MY"/>
        </w:rPr>
        <w:t xml:space="preserve"> </w:t>
      </w:r>
      <w:r>
        <w:rPr>
          <w:rFonts w:ascii="Arial" w:hAnsi="Arial" w:cs="Arial"/>
          <w:sz w:val="20"/>
          <w:lang w:val="en-MY"/>
        </w:rPr>
        <w:t xml:space="preserve">the invention portfolio of </w:t>
      </w:r>
      <w:r w:rsidR="007C23BD" w:rsidRPr="007C23BD">
        <w:rPr>
          <w:rFonts w:ascii="Arial" w:hAnsi="Arial" w:cs="Arial"/>
          <w:sz w:val="20"/>
          <w:lang w:val="en-MY"/>
        </w:rPr>
        <w:t xml:space="preserve">a major </w:t>
      </w:r>
      <w:r>
        <w:rPr>
          <w:rFonts w:ascii="Arial" w:hAnsi="Arial" w:cs="Arial"/>
          <w:sz w:val="20"/>
          <w:lang w:val="en-MY"/>
        </w:rPr>
        <w:t>technology solution</w:t>
      </w:r>
      <w:r w:rsidR="007C23BD" w:rsidRPr="007C23BD">
        <w:rPr>
          <w:rFonts w:ascii="Arial" w:hAnsi="Arial" w:cs="Arial"/>
          <w:sz w:val="20"/>
          <w:lang w:val="en-MY"/>
        </w:rPr>
        <w:t xml:space="preserve"> company in Malaysia</w:t>
      </w:r>
      <w:r>
        <w:rPr>
          <w:rFonts w:ascii="Arial" w:hAnsi="Arial" w:cs="Arial"/>
          <w:sz w:val="20"/>
          <w:lang w:val="en-MY"/>
        </w:rPr>
        <w:t xml:space="preserve"> and several jurisdictions around the world</w:t>
      </w:r>
      <w:r w:rsidR="007C23BD" w:rsidRPr="007C23BD">
        <w:rPr>
          <w:rFonts w:ascii="Arial" w:hAnsi="Arial" w:cs="Arial"/>
          <w:sz w:val="20"/>
          <w:lang w:val="en-MY"/>
        </w:rPr>
        <w:t>.</w:t>
      </w:r>
    </w:p>
    <w:p w14:paraId="1D695D8C" w14:textId="77777777" w:rsidR="00D94295" w:rsidRDefault="00D94295" w:rsidP="00D94295">
      <w:pPr>
        <w:spacing w:after="0"/>
        <w:ind w:left="720"/>
        <w:rPr>
          <w:rFonts w:ascii="Arial" w:hAnsi="Arial" w:cs="Arial"/>
          <w:sz w:val="20"/>
          <w:lang w:val="en-MY"/>
        </w:rPr>
      </w:pPr>
    </w:p>
    <w:p w14:paraId="6E368EC9" w14:textId="77777777" w:rsidR="00D94295" w:rsidRDefault="00D94295" w:rsidP="00D94295">
      <w:pPr>
        <w:numPr>
          <w:ilvl w:val="0"/>
          <w:numId w:val="23"/>
        </w:numPr>
        <w:spacing w:after="0"/>
        <w:rPr>
          <w:rFonts w:ascii="Arial" w:hAnsi="Arial" w:cs="Arial"/>
          <w:sz w:val="20"/>
          <w:lang w:val="en-MY"/>
        </w:rPr>
      </w:pPr>
      <w:r w:rsidRPr="006C55BE">
        <w:rPr>
          <w:rFonts w:ascii="Arial" w:hAnsi="Arial" w:cs="Arial"/>
          <w:sz w:val="20"/>
          <w:lang w:val="en-MY"/>
        </w:rPr>
        <w:t>Manages the intellectual property portfolio of an English Premier League football club in Mala</w:t>
      </w:r>
      <w:r>
        <w:rPr>
          <w:rFonts w:ascii="Arial" w:hAnsi="Arial" w:cs="Arial"/>
          <w:sz w:val="20"/>
          <w:lang w:val="en-MY"/>
        </w:rPr>
        <w:t>ys</w:t>
      </w:r>
      <w:r w:rsidRPr="006C55BE">
        <w:rPr>
          <w:rFonts w:ascii="Arial" w:hAnsi="Arial" w:cs="Arial"/>
          <w:sz w:val="20"/>
          <w:lang w:val="en-MY"/>
        </w:rPr>
        <w:t xml:space="preserve">ia </w:t>
      </w:r>
    </w:p>
    <w:p w14:paraId="6205C515" w14:textId="77777777" w:rsidR="007C23BD" w:rsidRPr="007C23BD" w:rsidRDefault="007C23BD" w:rsidP="007C23BD">
      <w:pPr>
        <w:spacing w:after="0"/>
        <w:ind w:left="720"/>
        <w:rPr>
          <w:rFonts w:ascii="Arial" w:hAnsi="Arial" w:cs="Arial"/>
          <w:sz w:val="20"/>
          <w:lang w:val="en-MY"/>
        </w:rPr>
      </w:pPr>
    </w:p>
    <w:p w14:paraId="2B7D93F7" w14:textId="77777777" w:rsidR="00930F0E" w:rsidRDefault="00930F0E" w:rsidP="00930F0E">
      <w:pPr>
        <w:numPr>
          <w:ilvl w:val="0"/>
          <w:numId w:val="19"/>
        </w:numPr>
        <w:spacing w:after="0"/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>Obtained a trade description order for a leading Indonesian food and beverage company in a dispute concerning a novel point aspect of parallel import</w:t>
      </w:r>
      <w:r w:rsidRPr="007C23BD">
        <w:rPr>
          <w:rFonts w:ascii="Arial" w:hAnsi="Arial" w:cs="Arial"/>
          <w:sz w:val="20"/>
          <w:lang w:val="en-MY"/>
        </w:rPr>
        <w:t>.</w:t>
      </w:r>
    </w:p>
    <w:p w14:paraId="3DD3B09B" w14:textId="77777777" w:rsidR="00BC26F6" w:rsidRPr="00BC26F6" w:rsidRDefault="00BC26F6" w:rsidP="00BC26F6">
      <w:pPr>
        <w:spacing w:after="0"/>
        <w:ind w:left="0"/>
        <w:rPr>
          <w:rFonts w:ascii="Arial" w:hAnsi="Arial" w:cs="Arial"/>
          <w:sz w:val="20"/>
          <w:lang w:val="en-MY"/>
        </w:rPr>
      </w:pPr>
    </w:p>
    <w:p w14:paraId="0328D532" w14:textId="77777777" w:rsidR="00145A0F" w:rsidRPr="002B13C8" w:rsidRDefault="00145A0F" w:rsidP="00145A0F">
      <w:pPr>
        <w:spacing w:after="0"/>
        <w:ind w:left="0"/>
        <w:rPr>
          <w:rFonts w:ascii="Arial" w:hAnsi="Arial" w:cs="Arial"/>
          <w:szCs w:val="24"/>
        </w:rPr>
      </w:pPr>
      <w:bookmarkStart w:id="3" w:name="_Hlk41410209"/>
      <w:bookmarkStart w:id="4" w:name="_Hlk41407942"/>
    </w:p>
    <w:bookmarkEnd w:id="3"/>
    <w:p w14:paraId="508781DB" w14:textId="77777777" w:rsidR="00145A0F" w:rsidRDefault="00145A0F" w:rsidP="00145A0F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 w:val="20"/>
        </w:rPr>
      </w:pPr>
    </w:p>
    <w:p w14:paraId="798D8C38" w14:textId="77777777" w:rsidR="00145A0F" w:rsidRPr="005E3EC3" w:rsidRDefault="00145A0F" w:rsidP="00145A0F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Cs w:val="24"/>
        </w:rPr>
      </w:pPr>
      <w:r w:rsidRPr="005E3EC3">
        <w:rPr>
          <w:rFonts w:ascii="Arial" w:hAnsi="Arial" w:cs="Arial"/>
          <w:b/>
          <w:bCs/>
          <w:szCs w:val="24"/>
        </w:rPr>
        <w:t>AWARDS &amp; ACCOLADES</w:t>
      </w:r>
    </w:p>
    <w:p w14:paraId="46493322" w14:textId="77777777" w:rsidR="00145A0F" w:rsidRDefault="00145A0F" w:rsidP="00145A0F">
      <w:pPr>
        <w:pBdr>
          <w:top w:val="single" w:sz="4" w:space="1" w:color="auto"/>
        </w:pBdr>
        <w:spacing w:after="0"/>
        <w:ind w:left="0"/>
        <w:rPr>
          <w:rFonts w:ascii="Arial" w:hAnsi="Arial" w:cs="Arial"/>
          <w:b/>
          <w:bCs/>
          <w:sz w:val="20"/>
        </w:rPr>
      </w:pPr>
    </w:p>
    <w:p w14:paraId="31A7D7FD" w14:textId="397FF7D0" w:rsidR="00E60C8B" w:rsidRPr="00503598" w:rsidRDefault="00E60C8B" w:rsidP="00E60C8B">
      <w:pPr>
        <w:spacing w:after="0"/>
        <w:ind w:left="0"/>
        <w:rPr>
          <w:rFonts w:ascii="Arial" w:hAnsi="Arial" w:cs="Arial"/>
          <w:sz w:val="20"/>
          <w:lang w:val="en-US"/>
        </w:rPr>
      </w:pPr>
      <w:bookmarkStart w:id="5" w:name="_Hlk41407956"/>
      <w:bookmarkEnd w:id="4"/>
      <w:r w:rsidRPr="00503598">
        <w:rPr>
          <w:rFonts w:ascii="Arial" w:hAnsi="Arial" w:cs="Arial"/>
          <w:sz w:val="20"/>
          <w:lang w:val="en-US"/>
        </w:rPr>
        <w:t xml:space="preserve">Among others, </w:t>
      </w:r>
      <w:proofErr w:type="spellStart"/>
      <w:r w:rsidRPr="00503598">
        <w:rPr>
          <w:rFonts w:ascii="Arial" w:hAnsi="Arial" w:cs="Arial"/>
          <w:sz w:val="20"/>
          <w:lang w:val="en-US"/>
        </w:rPr>
        <w:t>Bahari</w:t>
      </w:r>
      <w:proofErr w:type="spellEnd"/>
      <w:r w:rsidRPr="00503598">
        <w:rPr>
          <w:rFonts w:ascii="Arial" w:hAnsi="Arial" w:cs="Arial"/>
          <w:sz w:val="20"/>
          <w:lang w:val="en-US"/>
        </w:rPr>
        <w:t xml:space="preserve"> has been recognized by independent rankers and client testimonials as, inter alia:</w:t>
      </w:r>
    </w:p>
    <w:p w14:paraId="7D52A8A5" w14:textId="77777777" w:rsidR="00E60C8B" w:rsidRDefault="00E60C8B" w:rsidP="00E60C8B">
      <w:pPr>
        <w:spacing w:after="0"/>
        <w:ind w:left="0"/>
        <w:rPr>
          <w:rFonts w:ascii="Arial" w:hAnsi="Arial" w:cs="Arial"/>
          <w:i/>
          <w:iCs/>
          <w:sz w:val="20"/>
          <w:lang w:val="en-US"/>
        </w:rPr>
      </w:pPr>
    </w:p>
    <w:p w14:paraId="604515A9" w14:textId="1603FA59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A well-respected figure in Malaysian IP circles,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Yeow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is an impressive litigator who is always available</w:t>
      </w:r>
    </w:p>
    <w:p w14:paraId="555CDE7E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“Outstanding practice head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Yeow’s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expertise spans non contentious matters and IP disputes”</w:t>
      </w:r>
    </w:p>
    <w:p w14:paraId="66D06967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 “Explains complex matters in an easily understandable manner” </w:t>
      </w:r>
    </w:p>
    <w:p w14:paraId="64688841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"Is particularly hands-on and very conversant with IP matters in Malaysia," </w:t>
      </w:r>
    </w:p>
    <w:p w14:paraId="19401EC6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"customer-centric approach and adaptability to economic changes." </w:t>
      </w:r>
    </w:p>
    <w:p w14:paraId="4BE960C1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 “The intellectual property team headed by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Yeow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is just great! They are able to provide clients with sound advice/opinions which are not only based on the law but are relevant and adaptable to the business I am in.”</w:t>
      </w:r>
    </w:p>
    <w:p w14:paraId="5331A940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lastRenderedPageBreak/>
        <w:t>“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and Jian are friendly, approachable, experienced and knowledgeable in the field of practice.”</w:t>
      </w:r>
    </w:p>
    <w:p w14:paraId="3336CDA0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>“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Yeow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and Jian are attentive to details and will take the time to go through and ensure that the clients understand the issues, risks and mitigation solutions available. They have a very practical outlook in their views which is relatable to in-house legal solutions.”</w:t>
      </w:r>
    </w:p>
    <w:p w14:paraId="587B30A4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‘We have nothing but amazing reviews for 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</w:t>
      </w:r>
      <w:proofErr w:type="spellStart"/>
      <w:proofErr w:type="gramStart"/>
      <w:r w:rsidRPr="00E60C8B">
        <w:rPr>
          <w:rFonts w:ascii="Arial" w:hAnsi="Arial" w:cs="Arial"/>
          <w:i/>
          <w:iCs/>
          <w:sz w:val="20"/>
          <w:lang w:val="en-US"/>
        </w:rPr>
        <w:t>Yeow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>.‘</w:t>
      </w:r>
      <w:proofErr w:type="gramEnd"/>
    </w:p>
    <w:p w14:paraId="0905E24B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>“first rate”</w:t>
      </w:r>
    </w:p>
    <w:p w14:paraId="41C6FB23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>“</w:t>
      </w:r>
      <w:proofErr w:type="spellStart"/>
      <w:r w:rsidRPr="00E60C8B">
        <w:rPr>
          <w:rFonts w:ascii="Arial" w:hAnsi="Arial" w:cs="Arial"/>
          <w:i/>
          <w:iCs/>
          <w:sz w:val="20"/>
          <w:lang w:val="en-US"/>
        </w:rPr>
        <w:t>Bahari</w:t>
      </w:r>
      <w:proofErr w:type="spellEnd"/>
      <w:r w:rsidRPr="00E60C8B">
        <w:rPr>
          <w:rFonts w:ascii="Arial" w:hAnsi="Arial" w:cs="Arial"/>
          <w:i/>
          <w:iCs/>
          <w:sz w:val="20"/>
          <w:lang w:val="en-US"/>
        </w:rPr>
        <w:t xml:space="preserve"> is a thorough, detailed and dedicated lawyer. His characteristics speak volumes too, he is always keen to engage with clients, well mannered, friendly and approachable.”</w:t>
      </w:r>
    </w:p>
    <w:p w14:paraId="099D47C8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>“Their teamwork is excellent. They have a stable and quality structured management system with a pool of experienced personnel. They have always been responsive and revert promptly with direct and no-nonsense, commercially conscious advice.”</w:t>
      </w:r>
    </w:p>
    <w:p w14:paraId="71D783DE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 “Amazing work quality aside… extra careful around situations of potential conflict of interest.” </w:t>
      </w:r>
    </w:p>
    <w:p w14:paraId="73EACF09" w14:textId="77777777" w:rsidR="00E60C8B" w:rsidRP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 xml:space="preserve"> “ability in capturing and distilling complex technical notions into plain language makes it easy for clients’ easy comprehension and decision-making” </w:t>
      </w:r>
    </w:p>
    <w:p w14:paraId="121581FC" w14:textId="05E4F6DC" w:rsidR="00E60C8B" w:rsidRDefault="00E60C8B" w:rsidP="00E60C8B">
      <w:pPr>
        <w:numPr>
          <w:ilvl w:val="0"/>
          <w:numId w:val="18"/>
        </w:numPr>
        <w:spacing w:after="0"/>
        <w:rPr>
          <w:rFonts w:ascii="Arial" w:hAnsi="Arial" w:cs="Arial"/>
          <w:i/>
          <w:iCs/>
          <w:sz w:val="20"/>
          <w:lang w:val="en-US"/>
        </w:rPr>
      </w:pPr>
      <w:r w:rsidRPr="00E60C8B">
        <w:rPr>
          <w:rFonts w:ascii="Arial" w:hAnsi="Arial" w:cs="Arial"/>
          <w:i/>
          <w:iCs/>
          <w:sz w:val="20"/>
          <w:lang w:val="en-US"/>
        </w:rPr>
        <w:t>“resourceful, eﬃcient, accommodating, committed and solution-driven”</w:t>
      </w:r>
    </w:p>
    <w:p w14:paraId="3BDF1696" w14:textId="77777777" w:rsidR="00E60C8B" w:rsidRPr="00E60C8B" w:rsidRDefault="00E60C8B" w:rsidP="00E60C8B">
      <w:pPr>
        <w:spacing w:after="0"/>
        <w:ind w:left="720"/>
        <w:rPr>
          <w:rFonts w:ascii="Arial" w:hAnsi="Arial" w:cs="Arial"/>
          <w:i/>
          <w:iCs/>
          <w:sz w:val="20"/>
          <w:lang w:val="en-US"/>
        </w:rPr>
      </w:pPr>
    </w:p>
    <w:p w14:paraId="322D8ABB" w14:textId="77777777" w:rsidR="00412F5C" w:rsidRPr="00E60C8B" w:rsidRDefault="00412F5C" w:rsidP="006041A9">
      <w:pPr>
        <w:pBdr>
          <w:top w:val="single" w:sz="4" w:space="1" w:color="auto"/>
        </w:pBdr>
        <w:spacing w:after="0"/>
        <w:ind w:left="-180"/>
        <w:rPr>
          <w:rFonts w:ascii="Arial" w:hAnsi="Arial" w:cs="Arial"/>
          <w:sz w:val="22"/>
          <w:szCs w:val="22"/>
          <w:lang w:val="en-US"/>
        </w:rPr>
      </w:pPr>
    </w:p>
    <w:p w14:paraId="57682209" w14:textId="047C2748" w:rsidR="00C5174D" w:rsidRPr="00145A0F" w:rsidRDefault="00C5174D" w:rsidP="00C5174D">
      <w:pPr>
        <w:spacing w:after="0"/>
        <w:ind w:left="-180"/>
        <w:rPr>
          <w:rFonts w:ascii="Arial" w:hAnsi="Arial" w:cs="Arial"/>
          <w:b/>
          <w:bCs/>
          <w:szCs w:val="24"/>
        </w:rPr>
      </w:pPr>
      <w:r w:rsidRPr="00145A0F">
        <w:rPr>
          <w:rFonts w:ascii="Arial" w:hAnsi="Arial" w:cs="Arial"/>
          <w:b/>
          <w:bCs/>
          <w:szCs w:val="24"/>
        </w:rPr>
        <w:t>PUBLICATIONS</w:t>
      </w:r>
    </w:p>
    <w:p w14:paraId="59D43670" w14:textId="77777777" w:rsidR="006041A9" w:rsidRDefault="006041A9" w:rsidP="006041A9">
      <w:pPr>
        <w:ind w:left="0"/>
        <w:rPr>
          <w:rFonts w:ascii="Arial" w:hAnsi="Arial" w:cs="Arial"/>
          <w:sz w:val="22"/>
          <w:szCs w:val="22"/>
        </w:rPr>
      </w:pPr>
    </w:p>
    <w:bookmarkEnd w:id="5"/>
    <w:p w14:paraId="51162E81" w14:textId="77777777" w:rsidR="00E60C8B" w:rsidRPr="00E60C8B" w:rsidRDefault="00E60C8B" w:rsidP="00E60C8B">
      <w:pPr>
        <w:ind w:left="-180"/>
        <w:rPr>
          <w:rFonts w:ascii="Arial" w:hAnsi="Arial" w:cs="Arial"/>
          <w:sz w:val="22"/>
          <w:szCs w:val="22"/>
        </w:rPr>
      </w:pPr>
      <w:proofErr w:type="spellStart"/>
      <w:r w:rsidRPr="00E60C8B">
        <w:rPr>
          <w:rFonts w:ascii="Arial" w:hAnsi="Arial" w:cs="Arial"/>
          <w:sz w:val="22"/>
          <w:szCs w:val="22"/>
        </w:rPr>
        <w:t>Bahari</w:t>
      </w:r>
      <w:proofErr w:type="spellEnd"/>
      <w:r w:rsidRPr="00E60C8B">
        <w:rPr>
          <w:rFonts w:ascii="Arial" w:hAnsi="Arial" w:cs="Arial"/>
          <w:sz w:val="22"/>
          <w:szCs w:val="22"/>
        </w:rPr>
        <w:t xml:space="preserve"> has authored/ co-authored various publications including:</w:t>
      </w:r>
    </w:p>
    <w:p w14:paraId="5B02FD0D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proofErr w:type="gramStart"/>
      <w:r w:rsidRPr="00E60C8B">
        <w:rPr>
          <w:rFonts w:ascii="Arial" w:hAnsi="Arial" w:cs="Arial"/>
          <w:sz w:val="22"/>
          <w:szCs w:val="22"/>
        </w:rPr>
        <w:t>Trade Marks</w:t>
      </w:r>
      <w:proofErr w:type="gramEnd"/>
      <w:r w:rsidRPr="00E60C8B">
        <w:rPr>
          <w:rFonts w:ascii="Arial" w:hAnsi="Arial" w:cs="Arial"/>
          <w:sz w:val="22"/>
          <w:szCs w:val="22"/>
        </w:rPr>
        <w:t xml:space="preserve"> Act chapter of the Malaysian Civil Procedure (Sweet &amp; Maxwell, 2013)</w:t>
      </w:r>
    </w:p>
    <w:p w14:paraId="1CB2D509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proofErr w:type="gramStart"/>
      <w:r w:rsidRPr="00E60C8B">
        <w:rPr>
          <w:rFonts w:ascii="Arial" w:hAnsi="Arial" w:cs="Arial"/>
          <w:sz w:val="22"/>
          <w:szCs w:val="22"/>
        </w:rPr>
        <w:t>Trade Marks</w:t>
      </w:r>
      <w:proofErr w:type="gramEnd"/>
      <w:r w:rsidRPr="00E60C8B">
        <w:rPr>
          <w:rFonts w:ascii="Arial" w:hAnsi="Arial" w:cs="Arial"/>
          <w:sz w:val="22"/>
          <w:szCs w:val="22"/>
        </w:rPr>
        <w:t xml:space="preserve"> Act chapter of the Malaysian Civil Procedure (Sweet &amp; Maxwell, 2015)</w:t>
      </w:r>
    </w:p>
    <w:p w14:paraId="13A370AC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proofErr w:type="gramStart"/>
      <w:r w:rsidRPr="00E60C8B">
        <w:rPr>
          <w:rFonts w:ascii="Arial" w:hAnsi="Arial" w:cs="Arial"/>
          <w:sz w:val="22"/>
          <w:szCs w:val="22"/>
        </w:rPr>
        <w:t>Trade Marks</w:t>
      </w:r>
      <w:proofErr w:type="gramEnd"/>
      <w:r w:rsidRPr="00E60C8B">
        <w:rPr>
          <w:rFonts w:ascii="Arial" w:hAnsi="Arial" w:cs="Arial"/>
          <w:sz w:val="22"/>
          <w:szCs w:val="22"/>
        </w:rPr>
        <w:t xml:space="preserve"> Act chapter of the Malaysian Civil Procedure (Sweet &amp; Maxwell, 2018)</w:t>
      </w:r>
    </w:p>
    <w:p w14:paraId="00262505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Intellectual Property, Global Comparative Guide (the Legal 500 Series, 2017)</w:t>
      </w:r>
    </w:p>
    <w:p w14:paraId="5266DC93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Intellectual Property in the Malaysian Precedents and Forms (LexisNexis)</w:t>
      </w:r>
    </w:p>
    <w:p w14:paraId="4F28D03D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Media, Advertising, and Entertainment Law Throughout the World (</w:t>
      </w:r>
      <w:proofErr w:type="spellStart"/>
      <w:r w:rsidRPr="00E60C8B">
        <w:rPr>
          <w:rFonts w:ascii="Arial" w:hAnsi="Arial" w:cs="Arial"/>
          <w:sz w:val="22"/>
          <w:szCs w:val="22"/>
        </w:rPr>
        <w:t>Multilaw</w:t>
      </w:r>
      <w:proofErr w:type="spellEnd"/>
      <w:r w:rsidRPr="00E60C8B">
        <w:rPr>
          <w:rFonts w:ascii="Arial" w:hAnsi="Arial" w:cs="Arial"/>
          <w:sz w:val="22"/>
          <w:szCs w:val="22"/>
        </w:rPr>
        <w:t xml:space="preserve">, 2018) </w:t>
      </w:r>
    </w:p>
    <w:p w14:paraId="6BC99E68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Expert Guide — Intellectual Property (2018)</w:t>
      </w:r>
    </w:p>
    <w:p w14:paraId="30CEEB5A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Trademark Navigator (</w:t>
      </w:r>
      <w:proofErr w:type="spellStart"/>
      <w:r w:rsidRPr="00E60C8B">
        <w:rPr>
          <w:rFonts w:ascii="Arial" w:hAnsi="Arial" w:cs="Arial"/>
          <w:sz w:val="22"/>
          <w:szCs w:val="22"/>
        </w:rPr>
        <w:t>Lexology</w:t>
      </w:r>
      <w:proofErr w:type="spellEnd"/>
      <w:r w:rsidRPr="00E60C8B">
        <w:rPr>
          <w:rFonts w:ascii="Arial" w:hAnsi="Arial" w:cs="Arial"/>
          <w:sz w:val="22"/>
          <w:szCs w:val="22"/>
        </w:rPr>
        <w:t>, 2019)</w:t>
      </w:r>
    </w:p>
    <w:p w14:paraId="0D27A102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Copyright Q&amp;A (Chambers, 2019)</w:t>
      </w:r>
    </w:p>
    <w:p w14:paraId="44587DE0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Patent Litigation Guide (Chambers, 2019)</w:t>
      </w:r>
    </w:p>
    <w:p w14:paraId="11E1E467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Copyright Guide (Chambers, 2019)</w:t>
      </w:r>
    </w:p>
    <w:p w14:paraId="2203F7B8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 xml:space="preserve">Trademark Guide (Chambers, 2019) </w:t>
      </w:r>
    </w:p>
    <w:p w14:paraId="0D431F72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The In-House Lawyer (Legal 500)</w:t>
      </w:r>
    </w:p>
    <w:p w14:paraId="631A0478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Corporate Disputes Magazine - Trademark (Financier Worldwide, 2019)</w:t>
      </w:r>
    </w:p>
    <w:p w14:paraId="782A684D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Trademarks 2020 Law and Practice in Malaysia</w:t>
      </w:r>
    </w:p>
    <w:p w14:paraId="0DF043B8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Copyright 2020 Law and Practice in Malaysia</w:t>
      </w:r>
    </w:p>
    <w:p w14:paraId="55629321" w14:textId="77777777" w:rsidR="00E60C8B" w:rsidRPr="00E60C8B" w:rsidRDefault="00E60C8B" w:rsidP="00E60C8B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2"/>
          <w:szCs w:val="22"/>
        </w:rPr>
      </w:pPr>
      <w:r w:rsidRPr="00E60C8B">
        <w:rPr>
          <w:rFonts w:ascii="Arial" w:hAnsi="Arial" w:cs="Arial"/>
          <w:sz w:val="22"/>
          <w:szCs w:val="22"/>
        </w:rPr>
        <w:t>Patent Litigation 2020 Law and Practice in Malaysia</w:t>
      </w:r>
    </w:p>
    <w:p w14:paraId="28DA6B02" w14:textId="69893DD6" w:rsidR="00EE55C5" w:rsidRPr="00EE55C5" w:rsidRDefault="00EE55C5" w:rsidP="00E60C8B">
      <w:pPr>
        <w:ind w:left="-180"/>
        <w:rPr>
          <w:rFonts w:ascii="Arial" w:hAnsi="Arial" w:cs="Arial"/>
          <w:sz w:val="20"/>
        </w:rPr>
      </w:pPr>
    </w:p>
    <w:sectPr w:rsidR="00EE55C5" w:rsidRPr="00EE55C5" w:rsidSect="00555D39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A9644" w14:textId="77777777" w:rsidR="00555D39" w:rsidRDefault="00555D39" w:rsidP="00555D39">
      <w:pPr>
        <w:spacing w:after="0"/>
      </w:pPr>
      <w:r>
        <w:separator/>
      </w:r>
    </w:p>
  </w:endnote>
  <w:endnote w:type="continuationSeparator" w:id="0">
    <w:p w14:paraId="729B880C" w14:textId="77777777" w:rsidR="00555D39" w:rsidRDefault="00555D39" w:rsidP="0055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0135" w14:textId="77777777" w:rsidR="00D42048" w:rsidRDefault="00D42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17F8" w14:textId="77777777" w:rsidR="00555D39" w:rsidRPr="00AA6D12" w:rsidRDefault="00555D39" w:rsidP="00555D39">
    <w:pPr>
      <w:spacing w:after="0"/>
      <w:ind w:left="0"/>
      <w:rPr>
        <w:rFonts w:ascii="Arial" w:hAnsi="Arial" w:cs="Arial"/>
        <w:b/>
        <w:bCs/>
        <w:sz w:val="22"/>
        <w:szCs w:val="18"/>
      </w:rPr>
    </w:pPr>
    <w:r w:rsidRPr="00AA6D12">
      <w:rPr>
        <w:rFonts w:ascii="Arial" w:hAnsi="Arial" w:cs="Arial"/>
        <w:b/>
        <w:bCs/>
        <w:sz w:val="22"/>
        <w:szCs w:val="18"/>
      </w:rPr>
      <w:t>Gan Partnership</w:t>
    </w:r>
  </w:p>
  <w:p w14:paraId="45882BD5" w14:textId="77777777" w:rsidR="00555D39" w:rsidRPr="00AA6D12" w:rsidRDefault="00555D39" w:rsidP="00555D39">
    <w:pPr>
      <w:spacing w:after="0"/>
      <w:ind w:left="0"/>
      <w:rPr>
        <w:rFonts w:ascii="Arial" w:hAnsi="Arial" w:cs="Arial"/>
        <w:sz w:val="22"/>
        <w:szCs w:val="18"/>
      </w:rPr>
    </w:pPr>
    <w:r w:rsidRPr="00AA6D12">
      <w:rPr>
        <w:rFonts w:ascii="Arial" w:hAnsi="Arial" w:cs="Arial"/>
        <w:sz w:val="22"/>
        <w:szCs w:val="18"/>
      </w:rPr>
      <w:t>D-32-02, Menara SUEZCAP 1, KL Gateway</w:t>
    </w:r>
    <w:r>
      <w:rPr>
        <w:rFonts w:ascii="Arial" w:hAnsi="Arial" w:cs="Arial"/>
        <w:sz w:val="22"/>
        <w:szCs w:val="18"/>
      </w:rPr>
      <w:t xml:space="preserve">, </w:t>
    </w:r>
    <w:r w:rsidRPr="00AA6D12">
      <w:rPr>
        <w:rFonts w:ascii="Arial" w:hAnsi="Arial" w:cs="Arial"/>
        <w:sz w:val="22"/>
        <w:szCs w:val="18"/>
      </w:rPr>
      <w:t xml:space="preserve">No. 2, Jalan </w:t>
    </w:r>
    <w:proofErr w:type="spellStart"/>
    <w:r w:rsidRPr="00AA6D12">
      <w:rPr>
        <w:rFonts w:ascii="Arial" w:hAnsi="Arial" w:cs="Arial"/>
        <w:sz w:val="22"/>
        <w:szCs w:val="18"/>
      </w:rPr>
      <w:t>Kerinchi</w:t>
    </w:r>
    <w:proofErr w:type="spellEnd"/>
    <w:r w:rsidRPr="00AA6D12">
      <w:rPr>
        <w:rFonts w:ascii="Arial" w:hAnsi="Arial" w:cs="Arial"/>
        <w:sz w:val="22"/>
        <w:szCs w:val="18"/>
      </w:rPr>
      <w:t xml:space="preserve">, </w:t>
    </w:r>
    <w:proofErr w:type="spellStart"/>
    <w:r w:rsidRPr="00AA6D12">
      <w:rPr>
        <w:rFonts w:ascii="Arial" w:hAnsi="Arial" w:cs="Arial"/>
        <w:sz w:val="22"/>
        <w:szCs w:val="18"/>
      </w:rPr>
      <w:t>Gerbang</w:t>
    </w:r>
    <w:proofErr w:type="spellEnd"/>
    <w:r w:rsidRPr="00AA6D12">
      <w:rPr>
        <w:rFonts w:ascii="Arial" w:hAnsi="Arial" w:cs="Arial"/>
        <w:sz w:val="22"/>
        <w:szCs w:val="18"/>
      </w:rPr>
      <w:t xml:space="preserve"> </w:t>
    </w:r>
    <w:proofErr w:type="spellStart"/>
    <w:r w:rsidRPr="00AA6D12">
      <w:rPr>
        <w:rFonts w:ascii="Arial" w:hAnsi="Arial" w:cs="Arial"/>
        <w:sz w:val="22"/>
        <w:szCs w:val="18"/>
      </w:rPr>
      <w:t>Kerinchi</w:t>
    </w:r>
    <w:proofErr w:type="spellEnd"/>
    <w:r w:rsidRPr="00AA6D12">
      <w:rPr>
        <w:rFonts w:ascii="Arial" w:hAnsi="Arial" w:cs="Arial"/>
        <w:sz w:val="22"/>
        <w:szCs w:val="18"/>
      </w:rPr>
      <w:t xml:space="preserve"> Lestari,</w:t>
    </w:r>
  </w:p>
  <w:p w14:paraId="140660B3" w14:textId="4700C9CC" w:rsidR="00555D39" w:rsidRPr="00AA6D12" w:rsidRDefault="00555D39" w:rsidP="00555D39">
    <w:pPr>
      <w:spacing w:after="0"/>
      <w:ind w:left="0"/>
      <w:rPr>
        <w:rFonts w:ascii="Arial" w:hAnsi="Arial" w:cs="Arial"/>
        <w:sz w:val="22"/>
        <w:szCs w:val="18"/>
      </w:rPr>
    </w:pPr>
    <w:r w:rsidRPr="00AA6D12">
      <w:rPr>
        <w:rFonts w:ascii="Arial" w:hAnsi="Arial" w:cs="Arial"/>
        <w:sz w:val="22"/>
        <w:szCs w:val="18"/>
      </w:rPr>
      <w:t>59200 Kuala Lumpur, Malaysia</w:t>
    </w:r>
    <w:r>
      <w:rPr>
        <w:rFonts w:ascii="Arial" w:hAnsi="Arial" w:cs="Arial"/>
        <w:sz w:val="22"/>
        <w:szCs w:val="18"/>
      </w:rPr>
      <w:t>.</w:t>
    </w:r>
  </w:p>
  <w:p w14:paraId="53B87018" w14:textId="77777777" w:rsidR="00555D39" w:rsidRPr="00AA6D12" w:rsidRDefault="00555D39" w:rsidP="00555D39">
    <w:pPr>
      <w:spacing w:after="0"/>
      <w:ind w:left="0"/>
      <w:rPr>
        <w:rFonts w:ascii="Arial" w:hAnsi="Arial" w:cs="Arial"/>
        <w:sz w:val="22"/>
        <w:szCs w:val="18"/>
      </w:rPr>
    </w:pPr>
    <w:r w:rsidRPr="00AA6D12">
      <w:rPr>
        <w:rFonts w:ascii="Arial" w:hAnsi="Arial" w:cs="Arial"/>
        <w:sz w:val="22"/>
        <w:szCs w:val="18"/>
      </w:rPr>
      <w:t>T:</w:t>
    </w:r>
    <w:r>
      <w:rPr>
        <w:rFonts w:ascii="Arial" w:hAnsi="Arial" w:cs="Arial"/>
        <w:sz w:val="22"/>
        <w:szCs w:val="18"/>
      </w:rPr>
      <w:t xml:space="preserve"> </w:t>
    </w:r>
    <w:r w:rsidRPr="00AA6D12">
      <w:rPr>
        <w:rFonts w:ascii="Arial" w:hAnsi="Arial" w:cs="Arial"/>
        <w:sz w:val="22"/>
        <w:szCs w:val="18"/>
      </w:rPr>
      <w:t>+603 7931 7060 |  F:</w:t>
    </w:r>
    <w:r>
      <w:rPr>
        <w:rFonts w:ascii="Arial" w:hAnsi="Arial" w:cs="Arial"/>
        <w:sz w:val="22"/>
        <w:szCs w:val="18"/>
      </w:rPr>
      <w:t xml:space="preserve"> </w:t>
    </w:r>
    <w:r w:rsidRPr="00AA6D12">
      <w:rPr>
        <w:rFonts w:ascii="Arial" w:hAnsi="Arial" w:cs="Arial"/>
        <w:sz w:val="22"/>
        <w:szCs w:val="18"/>
      </w:rPr>
      <w:t xml:space="preserve">+603 7931 8063 | E: </w:t>
    </w:r>
    <w:hyperlink r:id="rId1" w:history="1">
      <w:r w:rsidRPr="00AA6D12">
        <w:rPr>
          <w:rStyle w:val="Hyperlink"/>
          <w:rFonts w:ascii="Arial" w:hAnsi="Arial" w:cs="Arial"/>
          <w:sz w:val="22"/>
          <w:szCs w:val="18"/>
        </w:rPr>
        <w:t>office@ganlaw.my</w:t>
      </w:r>
    </w:hyperlink>
    <w:r w:rsidRPr="00AA6D12">
      <w:rPr>
        <w:rFonts w:ascii="Arial" w:hAnsi="Arial" w:cs="Arial"/>
        <w:sz w:val="22"/>
        <w:szCs w:val="18"/>
      </w:rPr>
      <w:t xml:space="preserve"> </w:t>
    </w:r>
    <w:r w:rsidRPr="00AA6D12">
      <w:rPr>
        <w:rFonts w:ascii="Arial" w:hAnsi="Arial" w:cs="Arial"/>
        <w:sz w:val="22"/>
        <w:szCs w:val="18"/>
      </w:rPr>
      <w:tab/>
    </w:r>
  </w:p>
  <w:p w14:paraId="70AD2FD2" w14:textId="77777777" w:rsidR="00555D39" w:rsidRDefault="00555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5C27C" w14:textId="77777777" w:rsidR="00D42048" w:rsidRDefault="00D42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D3EA" w14:textId="77777777" w:rsidR="00555D39" w:rsidRDefault="00555D39" w:rsidP="00555D39">
      <w:pPr>
        <w:spacing w:after="0"/>
      </w:pPr>
      <w:r>
        <w:separator/>
      </w:r>
    </w:p>
  </w:footnote>
  <w:footnote w:type="continuationSeparator" w:id="0">
    <w:p w14:paraId="12119634" w14:textId="77777777" w:rsidR="00555D39" w:rsidRDefault="00555D39" w:rsidP="0055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FDD96" w14:textId="77777777" w:rsidR="00D42048" w:rsidRDefault="00D42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E20C" w14:textId="77777777" w:rsidR="00D42048" w:rsidRDefault="00D42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1EFD" w14:textId="77777777" w:rsidR="00D42048" w:rsidRDefault="00D42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2F"/>
    <w:multiLevelType w:val="hybridMultilevel"/>
    <w:tmpl w:val="C03E917C"/>
    <w:lvl w:ilvl="0" w:tplc="B6D6A580">
      <w:start w:val="1"/>
      <w:numFmt w:val="decimal"/>
      <w:lvlText w:val="(%1)"/>
      <w:lvlJc w:val="left"/>
      <w:pPr>
        <w:ind w:left="720" w:hanging="90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00" w:hanging="360"/>
      </w:pPr>
    </w:lvl>
    <w:lvl w:ilvl="2" w:tplc="4409001B" w:tentative="1">
      <w:start w:val="1"/>
      <w:numFmt w:val="lowerRoman"/>
      <w:lvlText w:val="%3."/>
      <w:lvlJc w:val="right"/>
      <w:pPr>
        <w:ind w:left="1620" w:hanging="180"/>
      </w:pPr>
    </w:lvl>
    <w:lvl w:ilvl="3" w:tplc="4409000F" w:tentative="1">
      <w:start w:val="1"/>
      <w:numFmt w:val="decimal"/>
      <w:lvlText w:val="%4."/>
      <w:lvlJc w:val="left"/>
      <w:pPr>
        <w:ind w:left="2340" w:hanging="360"/>
      </w:pPr>
    </w:lvl>
    <w:lvl w:ilvl="4" w:tplc="44090019" w:tentative="1">
      <w:start w:val="1"/>
      <w:numFmt w:val="lowerLetter"/>
      <w:lvlText w:val="%5."/>
      <w:lvlJc w:val="left"/>
      <w:pPr>
        <w:ind w:left="3060" w:hanging="360"/>
      </w:pPr>
    </w:lvl>
    <w:lvl w:ilvl="5" w:tplc="4409001B" w:tentative="1">
      <w:start w:val="1"/>
      <w:numFmt w:val="lowerRoman"/>
      <w:lvlText w:val="%6."/>
      <w:lvlJc w:val="right"/>
      <w:pPr>
        <w:ind w:left="3780" w:hanging="180"/>
      </w:pPr>
    </w:lvl>
    <w:lvl w:ilvl="6" w:tplc="4409000F" w:tentative="1">
      <w:start w:val="1"/>
      <w:numFmt w:val="decimal"/>
      <w:lvlText w:val="%7."/>
      <w:lvlJc w:val="left"/>
      <w:pPr>
        <w:ind w:left="4500" w:hanging="360"/>
      </w:pPr>
    </w:lvl>
    <w:lvl w:ilvl="7" w:tplc="44090019" w:tentative="1">
      <w:start w:val="1"/>
      <w:numFmt w:val="lowerLetter"/>
      <w:lvlText w:val="%8."/>
      <w:lvlJc w:val="left"/>
      <w:pPr>
        <w:ind w:left="5220" w:hanging="360"/>
      </w:pPr>
    </w:lvl>
    <w:lvl w:ilvl="8" w:tplc="4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45E41B3"/>
    <w:multiLevelType w:val="multilevel"/>
    <w:tmpl w:val="89B43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D66FD1"/>
    <w:multiLevelType w:val="hybridMultilevel"/>
    <w:tmpl w:val="14EE770C"/>
    <w:lvl w:ilvl="0" w:tplc="68D093BC">
      <w:start w:val="1"/>
      <w:numFmt w:val="decimal"/>
      <w:lvlText w:val="(%1)"/>
      <w:lvlJc w:val="left"/>
      <w:pPr>
        <w:ind w:left="720" w:hanging="90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00" w:hanging="360"/>
      </w:pPr>
    </w:lvl>
    <w:lvl w:ilvl="2" w:tplc="4409001B" w:tentative="1">
      <w:start w:val="1"/>
      <w:numFmt w:val="lowerRoman"/>
      <w:lvlText w:val="%3."/>
      <w:lvlJc w:val="right"/>
      <w:pPr>
        <w:ind w:left="1620" w:hanging="180"/>
      </w:pPr>
    </w:lvl>
    <w:lvl w:ilvl="3" w:tplc="4409000F" w:tentative="1">
      <w:start w:val="1"/>
      <w:numFmt w:val="decimal"/>
      <w:lvlText w:val="%4."/>
      <w:lvlJc w:val="left"/>
      <w:pPr>
        <w:ind w:left="2340" w:hanging="360"/>
      </w:pPr>
    </w:lvl>
    <w:lvl w:ilvl="4" w:tplc="44090019" w:tentative="1">
      <w:start w:val="1"/>
      <w:numFmt w:val="lowerLetter"/>
      <w:lvlText w:val="%5."/>
      <w:lvlJc w:val="left"/>
      <w:pPr>
        <w:ind w:left="3060" w:hanging="360"/>
      </w:pPr>
    </w:lvl>
    <w:lvl w:ilvl="5" w:tplc="4409001B" w:tentative="1">
      <w:start w:val="1"/>
      <w:numFmt w:val="lowerRoman"/>
      <w:lvlText w:val="%6."/>
      <w:lvlJc w:val="right"/>
      <w:pPr>
        <w:ind w:left="3780" w:hanging="180"/>
      </w:pPr>
    </w:lvl>
    <w:lvl w:ilvl="6" w:tplc="4409000F" w:tentative="1">
      <w:start w:val="1"/>
      <w:numFmt w:val="decimal"/>
      <w:lvlText w:val="%7."/>
      <w:lvlJc w:val="left"/>
      <w:pPr>
        <w:ind w:left="4500" w:hanging="360"/>
      </w:pPr>
    </w:lvl>
    <w:lvl w:ilvl="7" w:tplc="44090019" w:tentative="1">
      <w:start w:val="1"/>
      <w:numFmt w:val="lowerLetter"/>
      <w:lvlText w:val="%8."/>
      <w:lvlJc w:val="left"/>
      <w:pPr>
        <w:ind w:left="5220" w:hanging="360"/>
      </w:pPr>
    </w:lvl>
    <w:lvl w:ilvl="8" w:tplc="4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51D2848"/>
    <w:multiLevelType w:val="hybridMultilevel"/>
    <w:tmpl w:val="344CB70C"/>
    <w:lvl w:ilvl="0" w:tplc="4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9E467A3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52DA"/>
    <w:multiLevelType w:val="hybridMultilevel"/>
    <w:tmpl w:val="687E0B5C"/>
    <w:lvl w:ilvl="0" w:tplc="4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A2D3021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1660C"/>
    <w:multiLevelType w:val="hybridMultilevel"/>
    <w:tmpl w:val="8DE4D156"/>
    <w:lvl w:ilvl="0" w:tplc="4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292A25"/>
    <w:multiLevelType w:val="hybridMultilevel"/>
    <w:tmpl w:val="F0D851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18FE"/>
    <w:multiLevelType w:val="hybridMultilevel"/>
    <w:tmpl w:val="F5369970"/>
    <w:lvl w:ilvl="0" w:tplc="4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FAD3513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A1125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03F91"/>
    <w:multiLevelType w:val="hybridMultilevel"/>
    <w:tmpl w:val="42F63506"/>
    <w:lvl w:ilvl="0" w:tplc="4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871CE316">
      <w:start w:val="8"/>
      <w:numFmt w:val="bullet"/>
      <w:lvlText w:val="•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B5843F6"/>
    <w:multiLevelType w:val="hybridMultilevel"/>
    <w:tmpl w:val="054C90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C4819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93BFB"/>
    <w:multiLevelType w:val="hybridMultilevel"/>
    <w:tmpl w:val="89786B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41A6B"/>
    <w:multiLevelType w:val="hybridMultilevel"/>
    <w:tmpl w:val="719CFC52"/>
    <w:lvl w:ilvl="0" w:tplc="4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45509C3"/>
    <w:multiLevelType w:val="hybridMultilevel"/>
    <w:tmpl w:val="78AAA13E"/>
    <w:lvl w:ilvl="0" w:tplc="4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FC258D3"/>
    <w:multiLevelType w:val="hybridMultilevel"/>
    <w:tmpl w:val="D5D87F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75DF4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46359"/>
    <w:multiLevelType w:val="hybridMultilevel"/>
    <w:tmpl w:val="520C06C0"/>
    <w:lvl w:ilvl="0" w:tplc="4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EDA5FF4"/>
    <w:multiLevelType w:val="hybridMultilevel"/>
    <w:tmpl w:val="A290EF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17778"/>
    <w:multiLevelType w:val="hybridMultilevel"/>
    <w:tmpl w:val="253A7B12"/>
    <w:lvl w:ilvl="0" w:tplc="BF7813E8">
      <w:start w:val="1"/>
      <w:numFmt w:val="decimal"/>
      <w:lvlText w:val="(%1)"/>
      <w:lvlJc w:val="left"/>
      <w:pPr>
        <w:ind w:left="720" w:hanging="90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00" w:hanging="360"/>
      </w:pPr>
    </w:lvl>
    <w:lvl w:ilvl="2" w:tplc="4409001B" w:tentative="1">
      <w:start w:val="1"/>
      <w:numFmt w:val="lowerRoman"/>
      <w:lvlText w:val="%3."/>
      <w:lvlJc w:val="right"/>
      <w:pPr>
        <w:ind w:left="1620" w:hanging="180"/>
      </w:pPr>
    </w:lvl>
    <w:lvl w:ilvl="3" w:tplc="4409000F" w:tentative="1">
      <w:start w:val="1"/>
      <w:numFmt w:val="decimal"/>
      <w:lvlText w:val="%4."/>
      <w:lvlJc w:val="left"/>
      <w:pPr>
        <w:ind w:left="2340" w:hanging="360"/>
      </w:pPr>
    </w:lvl>
    <w:lvl w:ilvl="4" w:tplc="44090019" w:tentative="1">
      <w:start w:val="1"/>
      <w:numFmt w:val="lowerLetter"/>
      <w:lvlText w:val="%5."/>
      <w:lvlJc w:val="left"/>
      <w:pPr>
        <w:ind w:left="3060" w:hanging="360"/>
      </w:pPr>
    </w:lvl>
    <w:lvl w:ilvl="5" w:tplc="4409001B" w:tentative="1">
      <w:start w:val="1"/>
      <w:numFmt w:val="lowerRoman"/>
      <w:lvlText w:val="%6."/>
      <w:lvlJc w:val="right"/>
      <w:pPr>
        <w:ind w:left="3780" w:hanging="180"/>
      </w:pPr>
    </w:lvl>
    <w:lvl w:ilvl="6" w:tplc="4409000F" w:tentative="1">
      <w:start w:val="1"/>
      <w:numFmt w:val="decimal"/>
      <w:lvlText w:val="%7."/>
      <w:lvlJc w:val="left"/>
      <w:pPr>
        <w:ind w:left="4500" w:hanging="360"/>
      </w:pPr>
    </w:lvl>
    <w:lvl w:ilvl="7" w:tplc="44090019" w:tentative="1">
      <w:start w:val="1"/>
      <w:numFmt w:val="lowerLetter"/>
      <w:lvlText w:val="%8."/>
      <w:lvlJc w:val="left"/>
      <w:pPr>
        <w:ind w:left="5220" w:hanging="360"/>
      </w:pPr>
    </w:lvl>
    <w:lvl w:ilvl="8" w:tplc="4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74CA3FB8"/>
    <w:multiLevelType w:val="multilevel"/>
    <w:tmpl w:val="C6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F611F"/>
    <w:multiLevelType w:val="hybridMultilevel"/>
    <w:tmpl w:val="7D0EE8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A6DCF"/>
    <w:multiLevelType w:val="hybridMultilevel"/>
    <w:tmpl w:val="DA3241F0"/>
    <w:lvl w:ilvl="0" w:tplc="4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9"/>
  </w:num>
  <w:num w:numId="5">
    <w:abstractNumId w:val="15"/>
  </w:num>
  <w:num w:numId="6">
    <w:abstractNumId w:val="16"/>
  </w:num>
  <w:num w:numId="7">
    <w:abstractNumId w:val="0"/>
  </w:num>
  <w:num w:numId="8">
    <w:abstractNumId w:val="3"/>
  </w:num>
  <w:num w:numId="9">
    <w:abstractNumId w:val="22"/>
  </w:num>
  <w:num w:numId="10">
    <w:abstractNumId w:val="12"/>
  </w:num>
  <w:num w:numId="11">
    <w:abstractNumId w:val="2"/>
  </w:num>
  <w:num w:numId="12">
    <w:abstractNumId w:val="8"/>
  </w:num>
  <w:num w:numId="13">
    <w:abstractNumId w:val="21"/>
  </w:num>
  <w:num w:numId="14">
    <w:abstractNumId w:val="24"/>
  </w:num>
  <w:num w:numId="15">
    <w:abstractNumId w:val="13"/>
  </w:num>
  <w:num w:numId="16">
    <w:abstractNumId w:val="18"/>
  </w:num>
  <w:num w:numId="17">
    <w:abstractNumId w:val="5"/>
  </w:num>
  <w:num w:numId="18">
    <w:abstractNumId w:val="1"/>
  </w:num>
  <w:num w:numId="19">
    <w:abstractNumId w:val="23"/>
  </w:num>
  <w:num w:numId="20">
    <w:abstractNumId w:val="11"/>
  </w:num>
  <w:num w:numId="21">
    <w:abstractNumId w:val="19"/>
  </w:num>
  <w:num w:numId="22">
    <w:abstractNumId w:val="10"/>
  </w:num>
  <w:num w:numId="23">
    <w:abstractNumId w:val="14"/>
  </w:num>
  <w:num w:numId="24">
    <w:abstractNumId w:val="6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3A"/>
    <w:rsid w:val="000F185D"/>
    <w:rsid w:val="00145A0F"/>
    <w:rsid w:val="00283FFA"/>
    <w:rsid w:val="00321D84"/>
    <w:rsid w:val="00364BF6"/>
    <w:rsid w:val="00412F5C"/>
    <w:rsid w:val="00503598"/>
    <w:rsid w:val="0051078A"/>
    <w:rsid w:val="00544EE4"/>
    <w:rsid w:val="00555D39"/>
    <w:rsid w:val="005612FC"/>
    <w:rsid w:val="00581558"/>
    <w:rsid w:val="005C1482"/>
    <w:rsid w:val="005F1AB6"/>
    <w:rsid w:val="006041A9"/>
    <w:rsid w:val="00691336"/>
    <w:rsid w:val="006C55BE"/>
    <w:rsid w:val="00736AE7"/>
    <w:rsid w:val="00786928"/>
    <w:rsid w:val="007B473A"/>
    <w:rsid w:val="007C23BD"/>
    <w:rsid w:val="00802ED3"/>
    <w:rsid w:val="008C1350"/>
    <w:rsid w:val="00920D45"/>
    <w:rsid w:val="00930F0E"/>
    <w:rsid w:val="00A14FD5"/>
    <w:rsid w:val="00A53657"/>
    <w:rsid w:val="00B76E4A"/>
    <w:rsid w:val="00B7705C"/>
    <w:rsid w:val="00BB124A"/>
    <w:rsid w:val="00BC26F6"/>
    <w:rsid w:val="00C5174D"/>
    <w:rsid w:val="00D42048"/>
    <w:rsid w:val="00D94295"/>
    <w:rsid w:val="00DF7DEB"/>
    <w:rsid w:val="00E344A5"/>
    <w:rsid w:val="00E57E86"/>
    <w:rsid w:val="00E60C8B"/>
    <w:rsid w:val="00E83C8C"/>
    <w:rsid w:val="00EC411B"/>
    <w:rsid w:val="00E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DC4E"/>
  <w15:chartTrackingRefBased/>
  <w15:docId w15:val="{3E0FE8E8-3B25-413B-A2C4-6EA56E36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4D"/>
    <w:pPr>
      <w:spacing w:after="120" w:line="240" w:lineRule="auto"/>
      <w:ind w:left="1418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D3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D39"/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55D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D39"/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41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BD"/>
    <w:rPr>
      <w:rFonts w:ascii="Segoe UI" w:eastAsia="Times New Roman" w:hAnsi="Segoe UI" w:cs="Segoe UI"/>
      <w:snapToGrid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i@ganlaw.m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ganlaw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2DCF-846E-4F16-84AE-795BB527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Wah Foo</dc:creator>
  <cp:keywords/>
  <dc:description/>
  <cp:lastModifiedBy>yuen wah foo</cp:lastModifiedBy>
  <cp:revision>26</cp:revision>
  <dcterms:created xsi:type="dcterms:W3CDTF">2020-05-26T09:36:00Z</dcterms:created>
  <dcterms:modified xsi:type="dcterms:W3CDTF">2020-06-24T13:19:00Z</dcterms:modified>
</cp:coreProperties>
</file>