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EC924" w14:textId="20A83177" w:rsidR="00202510" w:rsidRDefault="00202510" w:rsidP="00D931B9">
      <w:pPr>
        <w:spacing w:after="0" w:line="240" w:lineRule="auto"/>
        <w:ind w:left="-180"/>
        <w:rPr>
          <w:rFonts w:ascii="Arial" w:hAnsi="Arial" w:cs="Arial"/>
          <w:b/>
          <w:bCs/>
        </w:rPr>
      </w:pPr>
      <w:r w:rsidRPr="0067095F">
        <w:rPr>
          <w:rFonts w:ascii="Arial" w:hAnsi="Arial" w:cs="Arial"/>
          <w:b/>
          <w:bCs/>
        </w:rPr>
        <w:t>T</w:t>
      </w:r>
      <w:r>
        <w:rPr>
          <w:rFonts w:ascii="Arial" w:hAnsi="Arial" w:cs="Arial"/>
          <w:b/>
          <w:bCs/>
        </w:rPr>
        <w:t>AN</w:t>
      </w:r>
      <w:r w:rsidRPr="0067095F">
        <w:rPr>
          <w:rFonts w:ascii="Arial" w:hAnsi="Arial" w:cs="Arial"/>
          <w:b/>
          <w:bCs/>
        </w:rPr>
        <w:t xml:space="preserve"> Min Lee</w:t>
      </w:r>
    </w:p>
    <w:p w14:paraId="1B88E89F" w14:textId="0B73959B" w:rsidR="00AD55BF" w:rsidRPr="001E4609" w:rsidRDefault="00AD55BF" w:rsidP="00AD55BF">
      <w:pPr>
        <w:spacing w:after="0"/>
        <w:ind w:left="-180"/>
        <w:rPr>
          <w:rFonts w:ascii="Arial" w:hAnsi="Arial" w:cs="Arial"/>
        </w:rPr>
      </w:pPr>
      <w:r>
        <w:rPr>
          <w:rFonts w:ascii="Arial" w:hAnsi="Arial" w:cs="Arial"/>
          <w:i/>
          <w:iCs/>
        </w:rPr>
        <w:t>Partner</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rPr>
        <w:t>[Insert Photo DSC 8</w:t>
      </w:r>
      <w:r w:rsidR="000F6377">
        <w:rPr>
          <w:rFonts w:ascii="Arial" w:hAnsi="Arial" w:cs="Arial"/>
        </w:rPr>
        <w:t>96</w:t>
      </w:r>
      <w:r>
        <w:rPr>
          <w:rFonts w:ascii="Arial" w:hAnsi="Arial" w:cs="Arial"/>
        </w:rPr>
        <w:t>]</w:t>
      </w:r>
    </w:p>
    <w:p w14:paraId="39674B69" w14:textId="4B544554" w:rsidR="00202510" w:rsidRPr="0067095F" w:rsidRDefault="00202510" w:rsidP="00D931B9">
      <w:pPr>
        <w:spacing w:after="0" w:line="240" w:lineRule="auto"/>
        <w:ind w:left="-180"/>
        <w:rPr>
          <w:rFonts w:ascii="Arial" w:hAnsi="Arial" w:cs="Arial"/>
        </w:rPr>
      </w:pPr>
      <w:r w:rsidRPr="0067095F">
        <w:rPr>
          <w:rFonts w:ascii="Arial" w:hAnsi="Arial" w:cs="Arial"/>
        </w:rPr>
        <w:t>E:</w:t>
      </w:r>
      <w:r w:rsidRPr="0067095F">
        <w:rPr>
          <w:rFonts w:ascii="Arial" w:hAnsi="Arial" w:cs="Arial"/>
        </w:rPr>
        <w:tab/>
      </w:r>
      <w:hyperlink r:id="rId5" w:history="1">
        <w:r w:rsidRPr="00B41D63">
          <w:rPr>
            <w:rStyle w:val="Hyperlink"/>
            <w:rFonts w:ascii="Arial" w:hAnsi="Arial" w:cs="Arial"/>
          </w:rPr>
          <w:t>minlee@ganlaw.my</w:t>
        </w:r>
      </w:hyperlink>
      <w:r>
        <w:rPr>
          <w:rFonts w:ascii="Arial" w:hAnsi="Arial" w:cs="Arial"/>
        </w:rPr>
        <w:t xml:space="preserve"> </w:t>
      </w:r>
      <w:r w:rsidRPr="0067095F">
        <w:rPr>
          <w:rFonts w:ascii="Arial" w:hAnsi="Arial" w:cs="Arial"/>
        </w:rPr>
        <w:t xml:space="preserve"> </w:t>
      </w:r>
      <w:r w:rsidRPr="0067095F">
        <w:rPr>
          <w:rFonts w:ascii="Arial" w:hAnsi="Arial" w:cs="Arial"/>
        </w:rPr>
        <w:tab/>
      </w:r>
      <w:r w:rsidRPr="0067095F">
        <w:rPr>
          <w:rFonts w:ascii="Arial" w:hAnsi="Arial" w:cs="Arial"/>
        </w:rPr>
        <w:tab/>
      </w:r>
    </w:p>
    <w:p w14:paraId="206C8830" w14:textId="42FC1341" w:rsidR="00AD55BF" w:rsidRDefault="00AD55BF" w:rsidP="00D931B9">
      <w:pPr>
        <w:spacing w:after="0" w:line="240" w:lineRule="auto"/>
        <w:ind w:left="-180"/>
        <w:rPr>
          <w:rFonts w:ascii="Arial" w:hAnsi="Arial" w:cs="Arial"/>
        </w:rPr>
      </w:pPr>
    </w:p>
    <w:p w14:paraId="0DAD08D0" w14:textId="77777777" w:rsidR="00AD55BF" w:rsidRDefault="00AD55BF" w:rsidP="00AD55BF">
      <w:pPr>
        <w:spacing w:after="0"/>
        <w:ind w:left="-180"/>
        <w:rPr>
          <w:rFonts w:ascii="Arial" w:hAnsi="Arial" w:cs="Arial"/>
          <w:b/>
          <w:bCs/>
        </w:rPr>
        <w:sectPr w:rsidR="00AD55BF" w:rsidSect="00AD55BF">
          <w:type w:val="continuous"/>
          <w:pgSz w:w="11906" w:h="16838"/>
          <w:pgMar w:top="1440" w:right="1440" w:bottom="1440" w:left="1440" w:header="720" w:footer="720" w:gutter="0"/>
          <w:cols w:space="720"/>
          <w:docGrid w:linePitch="360"/>
        </w:sectPr>
      </w:pPr>
    </w:p>
    <w:p w14:paraId="46050A40" w14:textId="77777777" w:rsidR="00AD55BF" w:rsidRDefault="00AD55BF" w:rsidP="00AD55BF">
      <w:pPr>
        <w:spacing w:after="0"/>
        <w:ind w:left="-180"/>
        <w:rPr>
          <w:rFonts w:ascii="Arial" w:hAnsi="Arial" w:cs="Arial"/>
          <w:b/>
          <w:bCs/>
        </w:rPr>
      </w:pPr>
    </w:p>
    <w:p w14:paraId="45F49E76" w14:textId="5E1E2883" w:rsidR="00AD55BF" w:rsidRPr="00C5174D" w:rsidRDefault="00AD55BF" w:rsidP="00AD55BF">
      <w:pPr>
        <w:spacing w:after="0"/>
        <w:ind w:left="-180"/>
        <w:rPr>
          <w:rFonts w:ascii="Arial" w:hAnsi="Arial" w:cs="Arial"/>
          <w:b/>
          <w:bCs/>
        </w:rPr>
      </w:pPr>
      <w:r w:rsidRPr="00C5174D">
        <w:rPr>
          <w:rFonts w:ascii="Arial" w:hAnsi="Arial" w:cs="Arial"/>
          <w:b/>
          <w:bCs/>
        </w:rPr>
        <w:t>PROFILE</w:t>
      </w:r>
    </w:p>
    <w:p w14:paraId="6ED89096" w14:textId="77777777" w:rsidR="00AD55BF" w:rsidRDefault="00AD55BF" w:rsidP="00AD55BF">
      <w:pPr>
        <w:spacing w:after="0" w:line="240" w:lineRule="auto"/>
        <w:ind w:left="-180"/>
        <w:jc w:val="both"/>
        <w:rPr>
          <w:rFonts w:ascii="Arial" w:hAnsi="Arial" w:cs="Arial"/>
        </w:rPr>
      </w:pPr>
    </w:p>
    <w:p w14:paraId="546FF2E7" w14:textId="4A670FDE" w:rsidR="00AD55BF" w:rsidRDefault="00AD55BF" w:rsidP="00AD55BF">
      <w:pPr>
        <w:spacing w:after="0" w:line="240" w:lineRule="auto"/>
        <w:ind w:left="-180"/>
        <w:jc w:val="both"/>
        <w:rPr>
          <w:rFonts w:ascii="Arial" w:hAnsi="Arial" w:cs="Arial"/>
        </w:rPr>
      </w:pPr>
      <w:r w:rsidRPr="00BE12E3">
        <w:rPr>
          <w:rFonts w:ascii="Arial" w:hAnsi="Arial" w:cs="Arial"/>
        </w:rPr>
        <w:t>Min Lee obtained her Bachelor of Laws degree (Hons) from the University of Malaya in 2008. She was then admitted as an Advocate and Solicitor of the High Court of Malaya in June 2009 after completed her pupillage with one of the renowned legal firms in Malaysia.</w:t>
      </w:r>
    </w:p>
    <w:p w14:paraId="65C6602E" w14:textId="77777777" w:rsidR="00AD55BF" w:rsidRPr="0067095F" w:rsidRDefault="00AD55BF" w:rsidP="00AD55BF">
      <w:pPr>
        <w:spacing w:after="0" w:line="240" w:lineRule="auto"/>
        <w:ind w:left="-180"/>
        <w:jc w:val="both"/>
        <w:rPr>
          <w:rFonts w:ascii="Arial" w:hAnsi="Arial" w:cs="Arial"/>
        </w:rPr>
      </w:pPr>
    </w:p>
    <w:p w14:paraId="0664C3DE" w14:textId="77777777" w:rsidR="00AD55BF" w:rsidRDefault="00AD55BF" w:rsidP="00AD55BF">
      <w:pPr>
        <w:spacing w:after="0" w:line="240" w:lineRule="auto"/>
        <w:ind w:left="-180"/>
        <w:jc w:val="both"/>
        <w:rPr>
          <w:rFonts w:ascii="Arial" w:hAnsi="Arial" w:cs="Arial"/>
        </w:rPr>
      </w:pPr>
      <w:r w:rsidRPr="00BE12E3">
        <w:rPr>
          <w:rFonts w:ascii="Arial" w:hAnsi="Arial" w:cs="Arial"/>
        </w:rPr>
        <w:t xml:space="preserve">Min Lee focuses on dispute resolution, particularly civil litigation, commercial </w:t>
      </w:r>
      <w:proofErr w:type="gramStart"/>
      <w:r w:rsidRPr="00BE12E3">
        <w:rPr>
          <w:rFonts w:ascii="Arial" w:hAnsi="Arial" w:cs="Arial"/>
        </w:rPr>
        <w:t>litigation</w:t>
      </w:r>
      <w:proofErr w:type="gramEnd"/>
      <w:r w:rsidRPr="00BE12E3">
        <w:rPr>
          <w:rFonts w:ascii="Arial" w:hAnsi="Arial" w:cs="Arial"/>
        </w:rPr>
        <w:t xml:space="preserve"> and arbitration in commercial and construction disputes. She is very adept at dealing with issues arising from the construction industry. She has represented various stakeholders, such as developers, main contractors, and subcontractors in a full spectrum of construction-related disputes.</w:t>
      </w:r>
    </w:p>
    <w:p w14:paraId="62BAD87D" w14:textId="77777777" w:rsidR="00AD55BF" w:rsidRPr="0067095F" w:rsidRDefault="00AD55BF" w:rsidP="00AD55BF">
      <w:pPr>
        <w:spacing w:after="0" w:line="240" w:lineRule="auto"/>
        <w:ind w:left="-180"/>
        <w:jc w:val="both"/>
        <w:rPr>
          <w:rFonts w:ascii="Arial" w:hAnsi="Arial" w:cs="Arial"/>
        </w:rPr>
      </w:pPr>
    </w:p>
    <w:p w14:paraId="35102022" w14:textId="77777777" w:rsidR="00AD55BF" w:rsidRDefault="00AD55BF" w:rsidP="00AD55BF">
      <w:pPr>
        <w:spacing w:after="0" w:line="240" w:lineRule="auto"/>
        <w:ind w:left="-180"/>
        <w:jc w:val="both"/>
        <w:rPr>
          <w:rFonts w:ascii="Arial" w:hAnsi="Arial" w:cs="Arial"/>
        </w:rPr>
      </w:pPr>
      <w:r w:rsidRPr="00BE12E3">
        <w:rPr>
          <w:rFonts w:ascii="Arial" w:hAnsi="Arial" w:cs="Arial"/>
        </w:rPr>
        <w:t xml:space="preserve">An adjudicator certified by and impanelled with the Asian International Arbitration Centre (AIAC), Min Lee is recognised for her skills and experience in resolving disputes under the Construction Industry Payment &amp; Adjudication Act 2012 (“CIPAA”) since its enforcement in April 2014. </w:t>
      </w:r>
      <w:proofErr w:type="gramStart"/>
      <w:r w:rsidRPr="00BE12E3">
        <w:rPr>
          <w:rFonts w:ascii="Arial" w:hAnsi="Arial" w:cs="Arial"/>
        </w:rPr>
        <w:t>She’s</w:t>
      </w:r>
      <w:proofErr w:type="gramEnd"/>
      <w:r w:rsidRPr="00BE12E3">
        <w:rPr>
          <w:rFonts w:ascii="Arial" w:hAnsi="Arial" w:cs="Arial"/>
        </w:rPr>
        <w:t xml:space="preserve"> the co-counsel in the highly contested matter which is one of the first CIPAA cases decided in the Federal Court.</w:t>
      </w:r>
    </w:p>
    <w:p w14:paraId="46AD8155" w14:textId="77777777" w:rsidR="00AD55BF" w:rsidRDefault="00AD55BF" w:rsidP="00AD55BF">
      <w:pPr>
        <w:spacing w:after="0" w:line="240" w:lineRule="auto"/>
        <w:ind w:left="-180"/>
        <w:jc w:val="both"/>
        <w:rPr>
          <w:rFonts w:ascii="Arial" w:hAnsi="Arial" w:cs="Arial"/>
        </w:rPr>
      </w:pPr>
    </w:p>
    <w:p w14:paraId="72440366" w14:textId="77777777" w:rsidR="00543780" w:rsidRDefault="00AD55BF" w:rsidP="00AD55BF">
      <w:pPr>
        <w:spacing w:after="0" w:line="240" w:lineRule="auto"/>
        <w:ind w:left="-180"/>
        <w:jc w:val="both"/>
        <w:rPr>
          <w:rFonts w:ascii="Arial" w:hAnsi="Arial" w:cs="Arial"/>
        </w:rPr>
      </w:pPr>
      <w:r w:rsidRPr="00BE12E3">
        <w:rPr>
          <w:rFonts w:ascii="Arial" w:hAnsi="Arial" w:cs="Arial"/>
        </w:rPr>
        <w:t>Min Lee reviews corporate documents, including joint venture agreements, share sale agreements and tenancy/lease agreements. She is solution-oriented when advising her clients and plays an instrumental role in achieving their desired commercial results. She advises one of the largest providers of flexible workspaces in Malaysia in respect of tenancy related issues. Her wealth of dispute resolution experience has made Min Lee a good representative for negotiations with landlords.</w:t>
      </w:r>
    </w:p>
    <w:p w14:paraId="5CEBE76D" w14:textId="77777777" w:rsidR="00543780" w:rsidRDefault="00543780" w:rsidP="00543780">
      <w:pPr>
        <w:spacing w:after="0" w:line="240" w:lineRule="auto"/>
        <w:ind w:left="-180"/>
        <w:jc w:val="both"/>
        <w:rPr>
          <w:rFonts w:ascii="Arial" w:hAnsi="Arial" w:cs="Arial"/>
        </w:rPr>
      </w:pPr>
    </w:p>
    <w:p w14:paraId="50737D6A" w14:textId="5E2BD337" w:rsidR="00AD55BF" w:rsidRDefault="00543780" w:rsidP="00AD55BF">
      <w:pPr>
        <w:spacing w:after="0" w:line="240" w:lineRule="auto"/>
        <w:ind w:left="-180"/>
        <w:jc w:val="both"/>
        <w:rPr>
          <w:rFonts w:ascii="Arial" w:hAnsi="Arial" w:cs="Arial"/>
        </w:rPr>
      </w:pPr>
      <w:r>
        <w:rPr>
          <w:rFonts w:ascii="Arial" w:hAnsi="Arial" w:cs="Arial"/>
        </w:rPr>
        <w:t xml:space="preserve">Min Lee is an Associate of </w:t>
      </w:r>
      <w:r w:rsidRPr="007A0269">
        <w:rPr>
          <w:rFonts w:ascii="Arial" w:hAnsi="Arial" w:cs="Arial"/>
          <w:sz w:val="20"/>
        </w:rPr>
        <w:t>Chartered Institute of Arbitrators, United Kingdom</w:t>
      </w:r>
      <w:r>
        <w:rPr>
          <w:rFonts w:ascii="Arial" w:hAnsi="Arial" w:cs="Arial"/>
          <w:sz w:val="20"/>
        </w:rPr>
        <w:t>.</w:t>
      </w:r>
      <w:r>
        <w:rPr>
          <w:rFonts w:ascii="Arial" w:hAnsi="Arial" w:cs="Arial"/>
          <w:sz w:val="20"/>
        </w:rPr>
        <w:t xml:space="preserve"> </w:t>
      </w:r>
      <w:r w:rsidR="00AD55BF">
        <w:rPr>
          <w:rFonts w:ascii="Arial" w:hAnsi="Arial" w:cs="Arial"/>
        </w:rPr>
        <w:br w:type="column"/>
      </w:r>
    </w:p>
    <w:p w14:paraId="799F3408" w14:textId="77777777" w:rsidR="00AD55BF" w:rsidRPr="00C5174D" w:rsidRDefault="00AD55BF" w:rsidP="00AD55BF">
      <w:pPr>
        <w:spacing w:after="0"/>
        <w:ind w:left="-180"/>
        <w:rPr>
          <w:rFonts w:ascii="Arial" w:hAnsi="Arial" w:cs="Arial"/>
          <w:b/>
          <w:bCs/>
        </w:rPr>
      </w:pPr>
      <w:r w:rsidRPr="00C5174D">
        <w:rPr>
          <w:rFonts w:ascii="Arial" w:hAnsi="Arial" w:cs="Arial"/>
          <w:b/>
          <w:bCs/>
        </w:rPr>
        <w:t>PRACTICE AREAS</w:t>
      </w:r>
    </w:p>
    <w:p w14:paraId="6B9BFFA7" w14:textId="77777777" w:rsidR="00AD55BF" w:rsidRPr="00555D39" w:rsidRDefault="00AD55BF" w:rsidP="00AD55BF">
      <w:pPr>
        <w:pStyle w:val="ListParagraph"/>
        <w:numPr>
          <w:ilvl w:val="0"/>
          <w:numId w:val="3"/>
        </w:numPr>
        <w:spacing w:after="0"/>
        <w:ind w:left="180"/>
        <w:rPr>
          <w:rFonts w:ascii="Arial" w:hAnsi="Arial" w:cs="Arial"/>
          <w:sz w:val="22"/>
          <w:szCs w:val="22"/>
        </w:rPr>
      </w:pPr>
      <w:r w:rsidRPr="00555D39">
        <w:rPr>
          <w:rFonts w:ascii="Arial" w:hAnsi="Arial" w:cs="Arial"/>
          <w:sz w:val="22"/>
          <w:szCs w:val="22"/>
        </w:rPr>
        <w:t xml:space="preserve">Arbitration </w:t>
      </w:r>
    </w:p>
    <w:p w14:paraId="5AABA779" w14:textId="77777777" w:rsidR="00AD55BF" w:rsidRPr="00555D39" w:rsidRDefault="00AD55BF" w:rsidP="00AD55BF">
      <w:pPr>
        <w:pStyle w:val="ListParagraph"/>
        <w:numPr>
          <w:ilvl w:val="0"/>
          <w:numId w:val="3"/>
        </w:numPr>
        <w:spacing w:after="0"/>
        <w:ind w:left="180"/>
        <w:rPr>
          <w:rFonts w:ascii="Arial" w:hAnsi="Arial" w:cs="Arial"/>
          <w:sz w:val="22"/>
          <w:szCs w:val="22"/>
        </w:rPr>
      </w:pPr>
      <w:r w:rsidRPr="00555D39">
        <w:rPr>
          <w:rFonts w:ascii="Arial" w:hAnsi="Arial" w:cs="Arial"/>
          <w:sz w:val="22"/>
          <w:szCs w:val="22"/>
        </w:rPr>
        <w:t>Adjudication</w:t>
      </w:r>
    </w:p>
    <w:p w14:paraId="0644A5E7" w14:textId="77777777" w:rsidR="00AD55BF" w:rsidRPr="00555D39" w:rsidRDefault="00AD55BF" w:rsidP="00AD55BF">
      <w:pPr>
        <w:pStyle w:val="ListParagraph"/>
        <w:numPr>
          <w:ilvl w:val="0"/>
          <w:numId w:val="3"/>
        </w:numPr>
        <w:spacing w:after="0"/>
        <w:ind w:left="180"/>
        <w:rPr>
          <w:rFonts w:ascii="Arial" w:hAnsi="Arial" w:cs="Arial"/>
          <w:sz w:val="22"/>
          <w:szCs w:val="22"/>
        </w:rPr>
      </w:pPr>
      <w:r w:rsidRPr="00555D39">
        <w:rPr>
          <w:rFonts w:ascii="Arial" w:hAnsi="Arial" w:cs="Arial"/>
          <w:sz w:val="22"/>
          <w:szCs w:val="22"/>
        </w:rPr>
        <w:t xml:space="preserve">Construction Litigation </w:t>
      </w:r>
    </w:p>
    <w:p w14:paraId="33C7285C" w14:textId="5C7BE94A" w:rsidR="00AD55BF" w:rsidRDefault="00AD55BF" w:rsidP="00AD55BF">
      <w:pPr>
        <w:spacing w:after="0"/>
        <w:ind w:left="-180"/>
        <w:rPr>
          <w:rFonts w:ascii="Arial" w:hAnsi="Arial" w:cs="Arial"/>
        </w:rPr>
      </w:pPr>
    </w:p>
    <w:p w14:paraId="18B19832" w14:textId="77777777" w:rsidR="00015DF5" w:rsidRDefault="00015DF5" w:rsidP="00AD55BF">
      <w:pPr>
        <w:spacing w:after="0"/>
        <w:ind w:left="-180"/>
        <w:rPr>
          <w:rFonts w:ascii="Arial" w:hAnsi="Arial" w:cs="Arial"/>
        </w:rPr>
      </w:pPr>
    </w:p>
    <w:p w14:paraId="7A641B26" w14:textId="77777777" w:rsidR="00AD55BF" w:rsidRPr="00555D39" w:rsidRDefault="00AD55BF" w:rsidP="00AD55BF">
      <w:pPr>
        <w:spacing w:after="0"/>
        <w:ind w:left="-180"/>
        <w:rPr>
          <w:rFonts w:ascii="Arial" w:hAnsi="Arial" w:cs="Arial"/>
          <w:b/>
          <w:bCs/>
        </w:rPr>
      </w:pPr>
      <w:r w:rsidRPr="00555D39">
        <w:rPr>
          <w:rFonts w:ascii="Arial" w:hAnsi="Arial" w:cs="Arial"/>
          <w:b/>
          <w:bCs/>
        </w:rPr>
        <w:t>ADMISSION</w:t>
      </w:r>
    </w:p>
    <w:p w14:paraId="6D7276D0" w14:textId="77777777" w:rsidR="00AD55BF" w:rsidRPr="007A0269" w:rsidRDefault="00AD55BF" w:rsidP="00AD55BF">
      <w:pPr>
        <w:spacing w:after="0"/>
        <w:ind w:left="-180"/>
        <w:rPr>
          <w:rFonts w:ascii="Arial" w:hAnsi="Arial" w:cs="Arial"/>
          <w:sz w:val="20"/>
        </w:rPr>
      </w:pPr>
      <w:r w:rsidRPr="007A0269">
        <w:rPr>
          <w:rFonts w:ascii="Arial" w:hAnsi="Arial" w:cs="Arial"/>
          <w:sz w:val="20"/>
        </w:rPr>
        <w:t>Advocate and Solicitor of the High Court of Malaya</w:t>
      </w:r>
    </w:p>
    <w:p w14:paraId="5B450D0F" w14:textId="4A8B9C16" w:rsidR="00AD55BF" w:rsidRDefault="00AD55BF" w:rsidP="00AD55BF">
      <w:pPr>
        <w:spacing w:after="0"/>
        <w:ind w:left="-180"/>
        <w:rPr>
          <w:rFonts w:ascii="Arial" w:hAnsi="Arial" w:cs="Arial"/>
          <w:b/>
          <w:bCs/>
        </w:rPr>
      </w:pPr>
    </w:p>
    <w:p w14:paraId="68EFD44D" w14:textId="77777777" w:rsidR="00543780" w:rsidRDefault="00543780" w:rsidP="00AD55BF">
      <w:pPr>
        <w:spacing w:after="0"/>
        <w:ind w:left="-180"/>
        <w:rPr>
          <w:rFonts w:ascii="Arial" w:hAnsi="Arial" w:cs="Arial"/>
          <w:b/>
          <w:bCs/>
        </w:rPr>
      </w:pPr>
    </w:p>
    <w:p w14:paraId="10F2A156" w14:textId="77777777" w:rsidR="00AD55BF" w:rsidRDefault="00AD55BF" w:rsidP="00AD55BF">
      <w:pPr>
        <w:spacing w:after="0"/>
        <w:ind w:left="-180"/>
        <w:rPr>
          <w:rFonts w:ascii="Arial" w:hAnsi="Arial" w:cs="Arial"/>
          <w:b/>
          <w:bCs/>
        </w:rPr>
      </w:pPr>
      <w:r>
        <w:rPr>
          <w:rFonts w:ascii="Arial" w:hAnsi="Arial" w:cs="Arial"/>
          <w:b/>
          <w:bCs/>
          <w:szCs w:val="18"/>
        </w:rPr>
        <w:t>QUALIFICATION</w:t>
      </w:r>
    </w:p>
    <w:p w14:paraId="47242BD8" w14:textId="46024FC6" w:rsidR="00AD55BF" w:rsidRPr="007A0269" w:rsidRDefault="00AD55BF" w:rsidP="00AD55BF">
      <w:pPr>
        <w:spacing w:after="0"/>
        <w:ind w:left="-180"/>
        <w:rPr>
          <w:rFonts w:ascii="Arial" w:hAnsi="Arial" w:cs="Arial"/>
          <w:sz w:val="20"/>
        </w:rPr>
      </w:pPr>
      <w:proofErr w:type="gramStart"/>
      <w:r w:rsidRPr="007A0269">
        <w:rPr>
          <w:rFonts w:ascii="Arial" w:hAnsi="Arial" w:cs="Arial"/>
          <w:sz w:val="20"/>
        </w:rPr>
        <w:t>LL.B</w:t>
      </w:r>
      <w:proofErr w:type="gramEnd"/>
      <w:r w:rsidRPr="007A0269">
        <w:rPr>
          <w:rFonts w:ascii="Arial" w:hAnsi="Arial" w:cs="Arial"/>
          <w:sz w:val="20"/>
        </w:rPr>
        <w:t xml:space="preserve"> (Hons), University of </w:t>
      </w:r>
      <w:r>
        <w:rPr>
          <w:rFonts w:ascii="Arial" w:hAnsi="Arial" w:cs="Arial"/>
          <w:sz w:val="20"/>
        </w:rPr>
        <w:t xml:space="preserve">Malaya </w:t>
      </w:r>
    </w:p>
    <w:p w14:paraId="51B2E1DF" w14:textId="1230E0F9" w:rsidR="00AD55BF" w:rsidRDefault="00AD55BF" w:rsidP="00AD55BF">
      <w:pPr>
        <w:spacing w:after="0"/>
        <w:ind w:left="-180"/>
        <w:rPr>
          <w:rFonts w:ascii="Arial" w:hAnsi="Arial" w:cs="Arial"/>
        </w:rPr>
      </w:pPr>
    </w:p>
    <w:p w14:paraId="78335CD0" w14:textId="77777777" w:rsidR="00015DF5" w:rsidRDefault="00015DF5" w:rsidP="00AD55BF">
      <w:pPr>
        <w:spacing w:after="0"/>
        <w:ind w:left="-180"/>
        <w:rPr>
          <w:rFonts w:ascii="Arial" w:hAnsi="Arial" w:cs="Arial"/>
        </w:rPr>
      </w:pPr>
    </w:p>
    <w:p w14:paraId="56901123" w14:textId="77777777" w:rsidR="00AD55BF" w:rsidRDefault="00AD55BF" w:rsidP="00AD55BF">
      <w:pPr>
        <w:spacing w:after="0"/>
        <w:ind w:left="-180"/>
        <w:rPr>
          <w:rFonts w:ascii="Arial" w:hAnsi="Arial" w:cs="Arial"/>
          <w:b/>
          <w:bCs/>
        </w:rPr>
      </w:pPr>
      <w:r>
        <w:rPr>
          <w:rFonts w:ascii="Arial" w:hAnsi="Arial" w:cs="Arial"/>
          <w:b/>
          <w:bCs/>
          <w:szCs w:val="18"/>
        </w:rPr>
        <w:t xml:space="preserve">LANGUAGE </w:t>
      </w:r>
    </w:p>
    <w:p w14:paraId="6FEE3F7B" w14:textId="2957B8E0" w:rsidR="00AD55BF" w:rsidRDefault="00AD55BF" w:rsidP="00AD55BF">
      <w:pPr>
        <w:spacing w:after="0"/>
        <w:ind w:left="-180"/>
        <w:rPr>
          <w:rFonts w:ascii="Arial" w:hAnsi="Arial" w:cs="Arial"/>
        </w:rPr>
      </w:pPr>
      <w:r w:rsidRPr="007A0269">
        <w:rPr>
          <w:rFonts w:ascii="Arial" w:hAnsi="Arial" w:cs="Arial"/>
          <w:sz w:val="20"/>
        </w:rPr>
        <w:t>English, Malay</w:t>
      </w:r>
      <w:r>
        <w:rPr>
          <w:rFonts w:ascii="Arial" w:hAnsi="Arial" w:cs="Arial"/>
          <w:sz w:val="20"/>
        </w:rPr>
        <w:t>, Chinese</w:t>
      </w:r>
      <w:r w:rsidRPr="007A0269">
        <w:rPr>
          <w:rFonts w:ascii="Arial" w:hAnsi="Arial" w:cs="Arial"/>
          <w:sz w:val="20"/>
        </w:rPr>
        <w:t xml:space="preserve"> </w:t>
      </w:r>
    </w:p>
    <w:p w14:paraId="7328E1CA" w14:textId="220654BC" w:rsidR="00AD55BF" w:rsidRDefault="00AD55BF" w:rsidP="00D931B9">
      <w:pPr>
        <w:spacing w:after="0" w:line="240" w:lineRule="auto"/>
        <w:ind w:left="-180"/>
        <w:rPr>
          <w:rFonts w:ascii="Arial" w:hAnsi="Arial" w:cs="Arial"/>
        </w:rPr>
        <w:sectPr w:rsidR="00AD55BF" w:rsidSect="00AD55BF">
          <w:type w:val="continuous"/>
          <w:pgSz w:w="11906" w:h="16838"/>
          <w:pgMar w:top="1440" w:right="1440" w:bottom="1440" w:left="1440" w:header="720" w:footer="720" w:gutter="0"/>
          <w:cols w:num="2" w:space="720" w:equalWidth="0">
            <w:col w:w="5780" w:space="708"/>
            <w:col w:w="2536"/>
          </w:cols>
          <w:docGrid w:linePitch="360"/>
        </w:sectPr>
      </w:pPr>
    </w:p>
    <w:p w14:paraId="2BCC2184" w14:textId="512E94AD" w:rsidR="00AD55BF" w:rsidRDefault="00AD55BF" w:rsidP="00D931B9">
      <w:pPr>
        <w:spacing w:after="0" w:line="240" w:lineRule="auto"/>
        <w:ind w:left="-180"/>
        <w:rPr>
          <w:rFonts w:ascii="Arial" w:hAnsi="Arial" w:cs="Arial"/>
        </w:rPr>
      </w:pPr>
    </w:p>
    <w:p w14:paraId="6FD57A6B" w14:textId="77777777" w:rsidR="00AD55BF" w:rsidRDefault="00AD55BF" w:rsidP="00D931B9">
      <w:pPr>
        <w:spacing w:after="0" w:line="240" w:lineRule="auto"/>
        <w:ind w:left="-180"/>
        <w:rPr>
          <w:rFonts w:ascii="Arial" w:hAnsi="Arial" w:cs="Arial"/>
        </w:rPr>
        <w:sectPr w:rsidR="00AD55BF" w:rsidSect="00AD55BF">
          <w:type w:val="continuous"/>
          <w:pgSz w:w="11906" w:h="16838"/>
          <w:pgMar w:top="1440" w:right="1440" w:bottom="1440" w:left="1440" w:header="720" w:footer="720" w:gutter="0"/>
          <w:cols w:space="720"/>
          <w:docGrid w:linePitch="360"/>
        </w:sectPr>
      </w:pPr>
    </w:p>
    <w:p w14:paraId="030A94E2" w14:textId="4D1D15AD" w:rsidR="00AD55BF" w:rsidRDefault="00AD55BF" w:rsidP="00DD7991">
      <w:pPr>
        <w:pBdr>
          <w:top w:val="single" w:sz="4" w:space="1" w:color="auto"/>
        </w:pBdr>
        <w:spacing w:after="0" w:line="240" w:lineRule="auto"/>
        <w:ind w:left="-180"/>
        <w:rPr>
          <w:rFonts w:ascii="Arial" w:hAnsi="Arial" w:cs="Arial"/>
        </w:rPr>
      </w:pPr>
    </w:p>
    <w:p w14:paraId="1E272588" w14:textId="77777777" w:rsidR="00AD55BF" w:rsidRDefault="00AD55BF" w:rsidP="00AD55BF">
      <w:pPr>
        <w:spacing w:after="0"/>
        <w:ind w:left="-180"/>
        <w:rPr>
          <w:rFonts w:ascii="Arial" w:hAnsi="Arial" w:cs="Arial"/>
          <w:b/>
          <w:bCs/>
          <w:szCs w:val="24"/>
        </w:rPr>
      </w:pPr>
      <w:r>
        <w:rPr>
          <w:rFonts w:ascii="Arial" w:hAnsi="Arial" w:cs="Arial"/>
          <w:b/>
          <w:bCs/>
          <w:szCs w:val="24"/>
        </w:rPr>
        <w:t>RELEVANT EXPERIENCE</w:t>
      </w:r>
    </w:p>
    <w:p w14:paraId="5ED78595" w14:textId="77777777" w:rsidR="00AD55BF" w:rsidRDefault="00AD55BF" w:rsidP="00AD55BF">
      <w:pPr>
        <w:spacing w:after="0"/>
        <w:ind w:left="-180"/>
        <w:rPr>
          <w:rFonts w:ascii="Arial" w:hAnsi="Arial" w:cs="Arial"/>
          <w:sz w:val="20"/>
        </w:rPr>
      </w:pPr>
    </w:p>
    <w:p w14:paraId="0D2C814B" w14:textId="0347B39A" w:rsidR="00AD55BF" w:rsidRDefault="00AD55BF" w:rsidP="00AD55BF">
      <w:pPr>
        <w:spacing w:after="0"/>
        <w:ind w:left="-180"/>
        <w:rPr>
          <w:rFonts w:ascii="Arial" w:hAnsi="Arial" w:cs="Arial"/>
          <w:sz w:val="20"/>
        </w:rPr>
      </w:pPr>
      <w:r>
        <w:rPr>
          <w:rFonts w:ascii="Arial" w:hAnsi="Arial" w:cs="Arial"/>
          <w:sz w:val="20"/>
        </w:rPr>
        <w:t>Some significant matters which Min Lee ha</w:t>
      </w:r>
      <w:r w:rsidR="0043149D">
        <w:rPr>
          <w:rFonts w:ascii="Arial" w:hAnsi="Arial" w:cs="Arial"/>
          <w:sz w:val="20"/>
        </w:rPr>
        <w:t>s</w:t>
      </w:r>
      <w:r>
        <w:rPr>
          <w:rFonts w:ascii="Arial" w:hAnsi="Arial" w:cs="Arial"/>
          <w:sz w:val="20"/>
        </w:rPr>
        <w:t xml:space="preserve"> involved in:</w:t>
      </w:r>
    </w:p>
    <w:p w14:paraId="5CCE2342" w14:textId="255C22B2" w:rsidR="00D931B9" w:rsidRPr="00AD55BF" w:rsidRDefault="00D931B9" w:rsidP="00D931B9">
      <w:pPr>
        <w:spacing w:after="0"/>
        <w:ind w:left="-180"/>
        <w:rPr>
          <w:rFonts w:ascii="Arial" w:hAnsi="Arial" w:cs="Arial"/>
          <w:sz w:val="20"/>
          <w:szCs w:val="20"/>
        </w:rPr>
      </w:pPr>
    </w:p>
    <w:p w14:paraId="3F0CE76F" w14:textId="77777777" w:rsidR="00AD55BF" w:rsidRPr="00AD55BF" w:rsidRDefault="00AD55BF" w:rsidP="00AD55BF">
      <w:pPr>
        <w:spacing w:after="0"/>
        <w:jc w:val="both"/>
        <w:rPr>
          <w:rFonts w:ascii="Arial" w:hAnsi="Arial" w:cs="Arial"/>
          <w:sz w:val="20"/>
          <w:szCs w:val="20"/>
          <w:u w:val="single"/>
        </w:rPr>
      </w:pPr>
      <w:r w:rsidRPr="00AD55BF">
        <w:rPr>
          <w:rFonts w:ascii="Arial" w:hAnsi="Arial" w:cs="Arial"/>
          <w:sz w:val="20"/>
          <w:szCs w:val="20"/>
          <w:u w:val="single"/>
        </w:rPr>
        <w:t>Arbitration</w:t>
      </w:r>
    </w:p>
    <w:p w14:paraId="6D175301" w14:textId="77777777" w:rsidR="00AD55BF" w:rsidRPr="00AD55BF" w:rsidRDefault="00AD55BF" w:rsidP="00AD55BF">
      <w:pPr>
        <w:numPr>
          <w:ilvl w:val="0"/>
          <w:numId w:val="6"/>
        </w:numPr>
        <w:tabs>
          <w:tab w:val="clear" w:pos="720"/>
        </w:tabs>
        <w:spacing w:after="0"/>
        <w:jc w:val="both"/>
        <w:rPr>
          <w:rFonts w:ascii="Arial" w:hAnsi="Arial" w:cs="Arial"/>
          <w:sz w:val="20"/>
          <w:szCs w:val="20"/>
        </w:rPr>
      </w:pPr>
      <w:r w:rsidRPr="00AD55BF">
        <w:rPr>
          <w:rFonts w:ascii="Arial" w:hAnsi="Arial" w:cs="Arial"/>
          <w:sz w:val="20"/>
          <w:szCs w:val="20"/>
        </w:rPr>
        <w:t xml:space="preserve">Acted for the main contractor in litigation, </w:t>
      </w:r>
      <w:proofErr w:type="gramStart"/>
      <w:r w:rsidRPr="00AD55BF">
        <w:rPr>
          <w:rFonts w:ascii="Arial" w:hAnsi="Arial" w:cs="Arial"/>
          <w:sz w:val="20"/>
          <w:szCs w:val="20"/>
        </w:rPr>
        <w:t>adjudication</w:t>
      </w:r>
      <w:proofErr w:type="gramEnd"/>
      <w:r w:rsidRPr="00AD55BF">
        <w:rPr>
          <w:rFonts w:ascii="Arial" w:hAnsi="Arial" w:cs="Arial"/>
          <w:sz w:val="20"/>
          <w:szCs w:val="20"/>
        </w:rPr>
        <w:t xml:space="preserve"> and arbitration against the developer of a condominium in the heart of Kuala Lumpur in respect of multiple disputes arising from the main contract</w:t>
      </w:r>
    </w:p>
    <w:p w14:paraId="32D84AB8" w14:textId="77777777" w:rsidR="00AD55BF" w:rsidRPr="00AD55BF" w:rsidRDefault="00AD55BF" w:rsidP="00AD55BF">
      <w:pPr>
        <w:spacing w:after="0"/>
        <w:ind w:left="789" w:hanging="720"/>
        <w:jc w:val="both"/>
        <w:rPr>
          <w:rFonts w:ascii="Arial" w:hAnsi="Arial" w:cs="Arial"/>
          <w:sz w:val="20"/>
          <w:szCs w:val="20"/>
        </w:rPr>
      </w:pPr>
    </w:p>
    <w:p w14:paraId="2EB74A57" w14:textId="77777777" w:rsidR="00AD55BF" w:rsidRPr="00AD55BF" w:rsidRDefault="00AD55BF" w:rsidP="00AD55BF">
      <w:pPr>
        <w:numPr>
          <w:ilvl w:val="0"/>
          <w:numId w:val="6"/>
        </w:numPr>
        <w:spacing w:after="0"/>
        <w:jc w:val="both"/>
        <w:rPr>
          <w:rFonts w:ascii="Arial" w:hAnsi="Arial" w:cs="Arial"/>
          <w:sz w:val="20"/>
          <w:szCs w:val="20"/>
        </w:rPr>
      </w:pPr>
      <w:r w:rsidRPr="00AD55BF">
        <w:rPr>
          <w:rFonts w:ascii="Arial" w:hAnsi="Arial" w:cs="Arial"/>
          <w:sz w:val="20"/>
          <w:szCs w:val="20"/>
        </w:rPr>
        <w:t>Acted for the main contractor against the developer for unlawful termination of the main contract claiming for a sum exceeding RM56 million</w:t>
      </w:r>
    </w:p>
    <w:p w14:paraId="48ABA8BF" w14:textId="77777777" w:rsidR="00AD55BF" w:rsidRPr="00AD55BF" w:rsidRDefault="00AD55BF" w:rsidP="00AD55BF">
      <w:pPr>
        <w:spacing w:after="0"/>
        <w:ind w:left="789" w:hanging="720"/>
        <w:jc w:val="both"/>
        <w:rPr>
          <w:rFonts w:ascii="Arial" w:hAnsi="Arial" w:cs="Arial"/>
          <w:sz w:val="20"/>
          <w:szCs w:val="20"/>
        </w:rPr>
      </w:pPr>
    </w:p>
    <w:p w14:paraId="7C75899D" w14:textId="77777777" w:rsidR="00AD55BF" w:rsidRPr="00AD55BF" w:rsidRDefault="00AD55BF" w:rsidP="00AD55BF">
      <w:pPr>
        <w:numPr>
          <w:ilvl w:val="0"/>
          <w:numId w:val="6"/>
        </w:numPr>
        <w:spacing w:after="0"/>
        <w:jc w:val="both"/>
        <w:rPr>
          <w:rFonts w:ascii="Arial" w:hAnsi="Arial" w:cs="Arial"/>
          <w:sz w:val="20"/>
          <w:szCs w:val="20"/>
        </w:rPr>
      </w:pPr>
      <w:r w:rsidRPr="00AD55BF">
        <w:rPr>
          <w:rFonts w:ascii="Arial" w:hAnsi="Arial" w:cs="Arial"/>
          <w:sz w:val="20"/>
          <w:szCs w:val="20"/>
        </w:rPr>
        <w:lastRenderedPageBreak/>
        <w:t>Acting for the main contractor appointed by a concession company against the subcontractor for losses, expenses and costs incurred by the former due to the latter’s delay in completing the university campus, which claim is in the region of RM250 million</w:t>
      </w:r>
    </w:p>
    <w:p w14:paraId="442D5142" w14:textId="77777777" w:rsidR="00AD55BF" w:rsidRPr="00AD55BF" w:rsidRDefault="00AD55BF" w:rsidP="00AD55BF">
      <w:pPr>
        <w:spacing w:after="0"/>
        <w:ind w:left="789" w:hanging="720"/>
        <w:jc w:val="both"/>
        <w:rPr>
          <w:rFonts w:ascii="Arial" w:hAnsi="Arial" w:cs="Arial"/>
          <w:sz w:val="20"/>
          <w:szCs w:val="20"/>
        </w:rPr>
      </w:pPr>
    </w:p>
    <w:p w14:paraId="19932952" w14:textId="77777777" w:rsidR="00AD55BF" w:rsidRPr="00AD55BF" w:rsidRDefault="00AD55BF" w:rsidP="00AD55BF">
      <w:pPr>
        <w:numPr>
          <w:ilvl w:val="0"/>
          <w:numId w:val="6"/>
        </w:numPr>
        <w:tabs>
          <w:tab w:val="clear" w:pos="720"/>
        </w:tabs>
        <w:spacing w:after="0"/>
        <w:jc w:val="both"/>
        <w:rPr>
          <w:rFonts w:ascii="Arial" w:hAnsi="Arial" w:cs="Arial"/>
          <w:sz w:val="20"/>
          <w:szCs w:val="20"/>
        </w:rPr>
      </w:pPr>
      <w:r w:rsidRPr="00AD55BF">
        <w:rPr>
          <w:rFonts w:ascii="Arial" w:hAnsi="Arial" w:cs="Arial"/>
          <w:sz w:val="20"/>
          <w:szCs w:val="20"/>
        </w:rPr>
        <w:t xml:space="preserve">Acting for the developer against the contractor for infrastructure works for delay damages, in challenging the extensions of time granted by the consultant  </w:t>
      </w:r>
    </w:p>
    <w:p w14:paraId="3DA4E82F" w14:textId="77777777" w:rsidR="00AD55BF" w:rsidRPr="00AD55BF" w:rsidRDefault="00AD55BF" w:rsidP="00AD55BF">
      <w:pPr>
        <w:spacing w:after="0"/>
        <w:ind w:left="789" w:hanging="720"/>
        <w:jc w:val="both"/>
        <w:rPr>
          <w:rFonts w:ascii="Arial" w:hAnsi="Arial" w:cs="Arial"/>
          <w:sz w:val="20"/>
          <w:szCs w:val="20"/>
        </w:rPr>
      </w:pPr>
    </w:p>
    <w:p w14:paraId="7A6C3228" w14:textId="77777777" w:rsidR="00AD55BF" w:rsidRPr="00AD55BF" w:rsidRDefault="00AD55BF" w:rsidP="00AD55BF">
      <w:pPr>
        <w:numPr>
          <w:ilvl w:val="0"/>
          <w:numId w:val="6"/>
        </w:numPr>
        <w:tabs>
          <w:tab w:val="clear" w:pos="720"/>
        </w:tabs>
        <w:spacing w:after="0"/>
        <w:jc w:val="both"/>
        <w:rPr>
          <w:rFonts w:ascii="Arial" w:hAnsi="Arial" w:cs="Arial"/>
          <w:sz w:val="20"/>
          <w:szCs w:val="20"/>
        </w:rPr>
      </w:pPr>
      <w:r w:rsidRPr="00AD55BF">
        <w:rPr>
          <w:rFonts w:ascii="Arial" w:hAnsi="Arial" w:cs="Arial"/>
          <w:sz w:val="20"/>
          <w:szCs w:val="20"/>
        </w:rPr>
        <w:t>Acted for the state-owned power utilities company in a dispute with an independent power producer arising from a Power Purchase Agreement in an arbitration</w:t>
      </w:r>
    </w:p>
    <w:p w14:paraId="23CD15A1" w14:textId="77777777" w:rsidR="00AD55BF" w:rsidRPr="00AD55BF" w:rsidRDefault="00AD55BF" w:rsidP="00AD55BF">
      <w:pPr>
        <w:spacing w:after="0"/>
        <w:ind w:left="789" w:hanging="720"/>
        <w:jc w:val="both"/>
        <w:rPr>
          <w:rFonts w:ascii="Arial" w:hAnsi="Arial" w:cs="Arial"/>
          <w:sz w:val="20"/>
          <w:szCs w:val="20"/>
        </w:rPr>
      </w:pPr>
    </w:p>
    <w:p w14:paraId="0DC386F3" w14:textId="77777777" w:rsidR="00AD55BF" w:rsidRPr="00AD55BF" w:rsidRDefault="00AD55BF" w:rsidP="00AD55BF">
      <w:pPr>
        <w:numPr>
          <w:ilvl w:val="0"/>
          <w:numId w:val="6"/>
        </w:numPr>
        <w:tabs>
          <w:tab w:val="clear" w:pos="720"/>
        </w:tabs>
        <w:spacing w:after="0"/>
        <w:jc w:val="both"/>
        <w:rPr>
          <w:rFonts w:ascii="Arial" w:hAnsi="Arial" w:cs="Arial"/>
          <w:sz w:val="20"/>
          <w:szCs w:val="20"/>
        </w:rPr>
      </w:pPr>
      <w:r w:rsidRPr="00AD55BF">
        <w:rPr>
          <w:rFonts w:ascii="Arial" w:hAnsi="Arial" w:cs="Arial"/>
          <w:sz w:val="20"/>
          <w:szCs w:val="20"/>
        </w:rPr>
        <w:t>Acted for a power utilities company in Sabah in an arbitration with an independent power producer</w:t>
      </w:r>
    </w:p>
    <w:p w14:paraId="211CDA5E" w14:textId="77777777" w:rsidR="00AD55BF" w:rsidRPr="00AD55BF" w:rsidRDefault="00AD55BF" w:rsidP="00AD55BF">
      <w:pPr>
        <w:spacing w:after="0"/>
        <w:ind w:left="789" w:hanging="720"/>
        <w:jc w:val="both"/>
        <w:rPr>
          <w:rFonts w:ascii="Arial" w:hAnsi="Arial" w:cs="Arial"/>
          <w:sz w:val="20"/>
          <w:szCs w:val="20"/>
        </w:rPr>
      </w:pPr>
    </w:p>
    <w:p w14:paraId="6AF20390" w14:textId="77777777" w:rsidR="00AD55BF" w:rsidRPr="00AD55BF" w:rsidRDefault="00AD55BF" w:rsidP="00AD55BF">
      <w:pPr>
        <w:numPr>
          <w:ilvl w:val="0"/>
          <w:numId w:val="6"/>
        </w:numPr>
        <w:tabs>
          <w:tab w:val="clear" w:pos="720"/>
        </w:tabs>
        <w:spacing w:after="0"/>
        <w:jc w:val="both"/>
        <w:rPr>
          <w:rFonts w:ascii="Arial" w:hAnsi="Arial" w:cs="Arial"/>
          <w:sz w:val="20"/>
          <w:szCs w:val="20"/>
        </w:rPr>
      </w:pPr>
      <w:r w:rsidRPr="00AD55BF">
        <w:rPr>
          <w:rFonts w:ascii="Arial" w:hAnsi="Arial" w:cs="Arial"/>
          <w:sz w:val="20"/>
          <w:szCs w:val="20"/>
        </w:rPr>
        <w:t>Acted for a Malaysian conglomerate in an international arbitration conducted in Singapore, against a company registered in the British Virgin Islands, in a dispute concerning a wastewater treatment plant</w:t>
      </w:r>
    </w:p>
    <w:p w14:paraId="617FAD16" w14:textId="77777777" w:rsidR="00AD55BF" w:rsidRPr="00AD55BF" w:rsidRDefault="00AD55BF" w:rsidP="00AD55BF">
      <w:pPr>
        <w:spacing w:after="0"/>
        <w:jc w:val="both"/>
        <w:rPr>
          <w:rFonts w:ascii="Arial" w:hAnsi="Arial" w:cs="Arial"/>
          <w:sz w:val="20"/>
          <w:szCs w:val="20"/>
        </w:rPr>
      </w:pPr>
    </w:p>
    <w:p w14:paraId="7A2015E8" w14:textId="70C1CCEB" w:rsidR="00AD55BF" w:rsidRDefault="00AD55BF" w:rsidP="00AD55BF">
      <w:pPr>
        <w:spacing w:after="0"/>
        <w:jc w:val="both"/>
        <w:rPr>
          <w:rFonts w:ascii="Arial" w:hAnsi="Arial" w:cs="Arial"/>
          <w:sz w:val="20"/>
          <w:szCs w:val="20"/>
          <w:u w:val="single"/>
        </w:rPr>
      </w:pPr>
      <w:r w:rsidRPr="00AD55BF">
        <w:rPr>
          <w:rFonts w:ascii="Arial" w:hAnsi="Arial" w:cs="Arial"/>
          <w:sz w:val="20"/>
          <w:szCs w:val="20"/>
          <w:u w:val="single"/>
        </w:rPr>
        <w:t>Adjudication / Construction Litigation</w:t>
      </w:r>
    </w:p>
    <w:p w14:paraId="55DF597E" w14:textId="77777777" w:rsidR="0043149D" w:rsidRDefault="0043149D" w:rsidP="00AD55BF">
      <w:pPr>
        <w:spacing w:after="0"/>
        <w:jc w:val="both"/>
        <w:rPr>
          <w:rFonts w:ascii="Arial" w:hAnsi="Arial" w:cs="Arial"/>
          <w:sz w:val="20"/>
          <w:szCs w:val="20"/>
          <w:u w:val="single"/>
        </w:rPr>
      </w:pPr>
    </w:p>
    <w:p w14:paraId="3BF55B38" w14:textId="77777777" w:rsidR="00AD55BF" w:rsidRPr="00AD55BF" w:rsidRDefault="00AD55BF" w:rsidP="00AD55BF">
      <w:pPr>
        <w:numPr>
          <w:ilvl w:val="0"/>
          <w:numId w:val="7"/>
        </w:numPr>
        <w:spacing w:after="0"/>
        <w:jc w:val="both"/>
        <w:rPr>
          <w:rFonts w:ascii="Arial" w:hAnsi="Arial" w:cs="Arial"/>
          <w:sz w:val="20"/>
          <w:szCs w:val="20"/>
        </w:rPr>
      </w:pPr>
      <w:r w:rsidRPr="00AD55BF">
        <w:rPr>
          <w:rFonts w:ascii="Arial" w:hAnsi="Arial" w:cs="Arial"/>
          <w:sz w:val="20"/>
          <w:szCs w:val="20"/>
        </w:rPr>
        <w:t xml:space="preserve">Acted as junior counsel in the first adjudication under the Construction Industry Payment and Adjudication Act 2012 argued in the Federal Court reported as </w:t>
      </w:r>
      <w:r w:rsidRPr="00AD55BF">
        <w:rPr>
          <w:rFonts w:ascii="Arial" w:hAnsi="Arial" w:cs="Arial"/>
          <w:b/>
          <w:bCs/>
          <w:sz w:val="20"/>
          <w:szCs w:val="20"/>
        </w:rPr>
        <w:t xml:space="preserve">View Esteem </w:t>
      </w:r>
      <w:proofErr w:type="spellStart"/>
      <w:r w:rsidRPr="00AD55BF">
        <w:rPr>
          <w:rFonts w:ascii="Arial" w:hAnsi="Arial" w:cs="Arial"/>
          <w:b/>
          <w:bCs/>
          <w:sz w:val="20"/>
          <w:szCs w:val="20"/>
        </w:rPr>
        <w:t>Sdn</w:t>
      </w:r>
      <w:proofErr w:type="spellEnd"/>
      <w:r w:rsidRPr="00AD55BF">
        <w:rPr>
          <w:rFonts w:ascii="Arial" w:hAnsi="Arial" w:cs="Arial"/>
          <w:b/>
          <w:bCs/>
          <w:sz w:val="20"/>
          <w:szCs w:val="20"/>
        </w:rPr>
        <w:t xml:space="preserve"> </w:t>
      </w:r>
      <w:proofErr w:type="spellStart"/>
      <w:r w:rsidRPr="00AD55BF">
        <w:rPr>
          <w:rFonts w:ascii="Arial" w:hAnsi="Arial" w:cs="Arial"/>
          <w:b/>
          <w:bCs/>
          <w:sz w:val="20"/>
          <w:szCs w:val="20"/>
        </w:rPr>
        <w:t>Bhd</w:t>
      </w:r>
      <w:proofErr w:type="spellEnd"/>
      <w:r w:rsidRPr="00AD55BF">
        <w:rPr>
          <w:rFonts w:ascii="Arial" w:hAnsi="Arial" w:cs="Arial"/>
          <w:b/>
          <w:bCs/>
          <w:sz w:val="20"/>
          <w:szCs w:val="20"/>
        </w:rPr>
        <w:t xml:space="preserve"> v. Bina </w:t>
      </w:r>
      <w:proofErr w:type="spellStart"/>
      <w:r w:rsidRPr="00AD55BF">
        <w:rPr>
          <w:rFonts w:ascii="Arial" w:hAnsi="Arial" w:cs="Arial"/>
          <w:b/>
          <w:bCs/>
          <w:sz w:val="20"/>
          <w:szCs w:val="20"/>
        </w:rPr>
        <w:t>Puri</w:t>
      </w:r>
      <w:proofErr w:type="spellEnd"/>
      <w:r w:rsidRPr="00AD55BF">
        <w:rPr>
          <w:rFonts w:ascii="Arial" w:hAnsi="Arial" w:cs="Arial"/>
          <w:b/>
          <w:bCs/>
          <w:sz w:val="20"/>
          <w:szCs w:val="20"/>
        </w:rPr>
        <w:t xml:space="preserve"> Holdings </w:t>
      </w:r>
      <w:proofErr w:type="spellStart"/>
      <w:r w:rsidRPr="00AD55BF">
        <w:rPr>
          <w:rFonts w:ascii="Arial" w:hAnsi="Arial" w:cs="Arial"/>
          <w:b/>
          <w:bCs/>
          <w:sz w:val="20"/>
          <w:szCs w:val="20"/>
        </w:rPr>
        <w:t>Bhd</w:t>
      </w:r>
      <w:proofErr w:type="spellEnd"/>
      <w:r w:rsidRPr="00AD55BF">
        <w:rPr>
          <w:rFonts w:ascii="Arial" w:hAnsi="Arial" w:cs="Arial"/>
          <w:b/>
          <w:bCs/>
          <w:sz w:val="20"/>
          <w:szCs w:val="20"/>
        </w:rPr>
        <w:t xml:space="preserve"> [2019] 5 CLJ 479</w:t>
      </w:r>
    </w:p>
    <w:p w14:paraId="4EB94996" w14:textId="77777777" w:rsidR="00AD55BF" w:rsidRPr="00AD55BF" w:rsidRDefault="00AD55BF" w:rsidP="00AD55BF">
      <w:pPr>
        <w:spacing w:after="0"/>
        <w:ind w:left="789" w:hanging="706"/>
        <w:jc w:val="both"/>
        <w:rPr>
          <w:rFonts w:ascii="Arial" w:hAnsi="Arial" w:cs="Arial"/>
          <w:sz w:val="20"/>
          <w:szCs w:val="20"/>
        </w:rPr>
      </w:pPr>
    </w:p>
    <w:p w14:paraId="3548DBF4" w14:textId="7B368F34" w:rsidR="00AD55BF" w:rsidRDefault="00AD55BF" w:rsidP="00AD55BF">
      <w:pPr>
        <w:numPr>
          <w:ilvl w:val="0"/>
          <w:numId w:val="7"/>
        </w:numPr>
        <w:tabs>
          <w:tab w:val="clear" w:pos="720"/>
        </w:tabs>
        <w:spacing w:after="0"/>
        <w:jc w:val="both"/>
        <w:rPr>
          <w:rFonts w:ascii="Arial" w:hAnsi="Arial" w:cs="Arial"/>
          <w:sz w:val="20"/>
          <w:szCs w:val="20"/>
        </w:rPr>
      </w:pPr>
      <w:r w:rsidRPr="00AD55BF">
        <w:rPr>
          <w:rFonts w:ascii="Arial" w:hAnsi="Arial" w:cs="Arial"/>
          <w:sz w:val="20"/>
          <w:szCs w:val="20"/>
        </w:rPr>
        <w:t xml:space="preserve">Acted for the main contractor to defend a claim brought by an M&amp;E contractor under the Construction Industry Payment and Adjudication Act 2012 for a sum exceeding RM37 million </w:t>
      </w:r>
    </w:p>
    <w:p w14:paraId="3EBC09F2" w14:textId="77777777" w:rsidR="00AD55BF" w:rsidRDefault="00AD55BF" w:rsidP="00AD55BF">
      <w:pPr>
        <w:pStyle w:val="ListParagraph"/>
        <w:rPr>
          <w:rFonts w:ascii="Arial" w:hAnsi="Arial" w:cs="Arial"/>
          <w:sz w:val="20"/>
        </w:rPr>
      </w:pPr>
    </w:p>
    <w:p w14:paraId="472AFF06" w14:textId="77777777" w:rsidR="00AD55BF" w:rsidRPr="00AD55BF" w:rsidRDefault="00AD55BF" w:rsidP="00AD55BF">
      <w:pPr>
        <w:numPr>
          <w:ilvl w:val="0"/>
          <w:numId w:val="7"/>
        </w:numPr>
        <w:tabs>
          <w:tab w:val="clear" w:pos="720"/>
        </w:tabs>
        <w:spacing w:after="0"/>
        <w:jc w:val="both"/>
        <w:rPr>
          <w:rFonts w:ascii="Arial" w:hAnsi="Arial" w:cs="Arial"/>
          <w:sz w:val="20"/>
          <w:szCs w:val="20"/>
        </w:rPr>
      </w:pPr>
      <w:r w:rsidRPr="00AD55BF">
        <w:rPr>
          <w:rFonts w:ascii="Arial" w:hAnsi="Arial" w:cs="Arial"/>
          <w:sz w:val="20"/>
          <w:szCs w:val="20"/>
        </w:rPr>
        <w:t>Acted for the developer to defend a claim brought by a piling contractor under the Construction Industry Payment and Adjudication Act 2012 for a sum exceeding RM70 million</w:t>
      </w:r>
    </w:p>
    <w:p w14:paraId="57866BC9" w14:textId="77777777" w:rsidR="00AD55BF" w:rsidRPr="00AD55BF" w:rsidRDefault="00AD55BF" w:rsidP="00AD55BF">
      <w:pPr>
        <w:spacing w:after="0"/>
        <w:ind w:left="789" w:hanging="706"/>
        <w:jc w:val="both"/>
        <w:rPr>
          <w:rFonts w:ascii="Arial" w:hAnsi="Arial" w:cs="Arial"/>
          <w:sz w:val="20"/>
          <w:szCs w:val="20"/>
        </w:rPr>
      </w:pPr>
    </w:p>
    <w:p w14:paraId="5AE1D95B" w14:textId="77777777" w:rsidR="00AD55BF" w:rsidRPr="00AD55BF" w:rsidRDefault="00AD55BF" w:rsidP="00AD55BF">
      <w:pPr>
        <w:numPr>
          <w:ilvl w:val="0"/>
          <w:numId w:val="7"/>
        </w:numPr>
        <w:spacing w:after="0"/>
        <w:jc w:val="both"/>
        <w:rPr>
          <w:rFonts w:ascii="Arial" w:hAnsi="Arial" w:cs="Arial"/>
          <w:sz w:val="20"/>
          <w:szCs w:val="20"/>
        </w:rPr>
      </w:pPr>
      <w:r w:rsidRPr="00AD55BF">
        <w:rPr>
          <w:rFonts w:ascii="Arial" w:hAnsi="Arial" w:cs="Arial"/>
          <w:sz w:val="20"/>
          <w:szCs w:val="20"/>
        </w:rPr>
        <w:t>Acted for the developer to challenge claims made by the contractor for earthworks and pavement works carried out by the latter, in two separate adjudications for sums in the region of RM36 million and RM9 million respectively</w:t>
      </w:r>
    </w:p>
    <w:p w14:paraId="255C6202" w14:textId="77777777" w:rsidR="00AD55BF" w:rsidRPr="00AD55BF" w:rsidRDefault="00AD55BF" w:rsidP="00AD55BF">
      <w:pPr>
        <w:spacing w:after="0"/>
        <w:ind w:left="789" w:hanging="706"/>
        <w:jc w:val="both"/>
        <w:rPr>
          <w:rFonts w:ascii="Arial" w:hAnsi="Arial" w:cs="Arial"/>
          <w:sz w:val="20"/>
          <w:szCs w:val="20"/>
        </w:rPr>
      </w:pPr>
    </w:p>
    <w:p w14:paraId="6428BA6B" w14:textId="77777777" w:rsidR="00AD55BF" w:rsidRPr="00AD55BF" w:rsidRDefault="00AD55BF" w:rsidP="00AD55BF">
      <w:pPr>
        <w:numPr>
          <w:ilvl w:val="0"/>
          <w:numId w:val="7"/>
        </w:numPr>
        <w:tabs>
          <w:tab w:val="clear" w:pos="720"/>
        </w:tabs>
        <w:spacing w:after="0"/>
        <w:jc w:val="both"/>
        <w:rPr>
          <w:rFonts w:ascii="Arial" w:hAnsi="Arial" w:cs="Arial"/>
          <w:sz w:val="20"/>
          <w:szCs w:val="20"/>
        </w:rPr>
      </w:pPr>
      <w:r w:rsidRPr="00AD55BF">
        <w:rPr>
          <w:rFonts w:ascii="Arial" w:hAnsi="Arial" w:cs="Arial"/>
          <w:sz w:val="20"/>
          <w:szCs w:val="20"/>
        </w:rPr>
        <w:t>Acted for the sub-contractor against the main contractor for sums due and owing in adjudication and in court including an action against the developer for direct payment under the Construction Industry Payment and Adjudication Act 2012</w:t>
      </w:r>
    </w:p>
    <w:p w14:paraId="098496F5" w14:textId="77777777" w:rsidR="00AD55BF" w:rsidRPr="00AD55BF" w:rsidRDefault="00AD55BF" w:rsidP="00AD55BF">
      <w:pPr>
        <w:pStyle w:val="ListParagraph"/>
        <w:ind w:left="789" w:hanging="706"/>
        <w:rPr>
          <w:rFonts w:ascii="Arial" w:hAnsi="Arial" w:cs="Arial"/>
          <w:sz w:val="20"/>
        </w:rPr>
      </w:pPr>
    </w:p>
    <w:p w14:paraId="3E9FE0B0" w14:textId="77777777" w:rsidR="00AD55BF" w:rsidRPr="00AD55BF" w:rsidRDefault="00AD55BF" w:rsidP="00AD55BF">
      <w:pPr>
        <w:numPr>
          <w:ilvl w:val="0"/>
          <w:numId w:val="7"/>
        </w:numPr>
        <w:tabs>
          <w:tab w:val="clear" w:pos="720"/>
        </w:tabs>
        <w:spacing w:after="0"/>
        <w:jc w:val="both"/>
        <w:rPr>
          <w:rFonts w:ascii="Arial" w:hAnsi="Arial" w:cs="Arial"/>
          <w:sz w:val="20"/>
          <w:szCs w:val="20"/>
        </w:rPr>
      </w:pPr>
      <w:r w:rsidRPr="00AD55BF">
        <w:rPr>
          <w:rFonts w:ascii="Arial" w:hAnsi="Arial" w:cs="Arial"/>
          <w:sz w:val="20"/>
          <w:szCs w:val="20"/>
        </w:rPr>
        <w:t xml:space="preserve">Acted for the developer in resisting a claim by the contractor involving interpretation of the letter of intent and on </w:t>
      </w:r>
      <w:r w:rsidRPr="00AD55BF">
        <w:rPr>
          <w:rFonts w:ascii="Arial" w:hAnsi="Arial" w:cs="Arial"/>
          <w:i/>
          <w:iCs/>
          <w:sz w:val="20"/>
          <w:szCs w:val="20"/>
        </w:rPr>
        <w:t xml:space="preserve">quantum </w:t>
      </w:r>
      <w:proofErr w:type="spellStart"/>
      <w:r w:rsidRPr="00AD55BF">
        <w:rPr>
          <w:rFonts w:ascii="Arial" w:hAnsi="Arial" w:cs="Arial"/>
          <w:i/>
          <w:iCs/>
          <w:sz w:val="20"/>
          <w:szCs w:val="20"/>
        </w:rPr>
        <w:t>meruit</w:t>
      </w:r>
      <w:proofErr w:type="spellEnd"/>
      <w:r w:rsidRPr="00AD55BF">
        <w:rPr>
          <w:rFonts w:ascii="Arial" w:hAnsi="Arial" w:cs="Arial"/>
          <w:sz w:val="20"/>
          <w:szCs w:val="20"/>
        </w:rPr>
        <w:t xml:space="preserve"> basis</w:t>
      </w:r>
    </w:p>
    <w:p w14:paraId="074D48EB" w14:textId="77777777" w:rsidR="00AD55BF" w:rsidRPr="00AD55BF" w:rsidRDefault="00AD55BF" w:rsidP="00AD55BF">
      <w:pPr>
        <w:pStyle w:val="ListParagraph"/>
        <w:ind w:left="789" w:hanging="706"/>
        <w:rPr>
          <w:rFonts w:ascii="Arial" w:hAnsi="Arial" w:cs="Arial"/>
          <w:sz w:val="20"/>
        </w:rPr>
      </w:pPr>
    </w:p>
    <w:p w14:paraId="3AF319BE" w14:textId="77777777" w:rsidR="00AD55BF" w:rsidRPr="00AD55BF" w:rsidRDefault="00AD55BF" w:rsidP="00AD55BF">
      <w:pPr>
        <w:numPr>
          <w:ilvl w:val="0"/>
          <w:numId w:val="7"/>
        </w:numPr>
        <w:tabs>
          <w:tab w:val="clear" w:pos="720"/>
        </w:tabs>
        <w:spacing w:after="0"/>
        <w:jc w:val="both"/>
        <w:rPr>
          <w:rFonts w:ascii="Arial" w:hAnsi="Arial" w:cs="Arial"/>
          <w:sz w:val="20"/>
          <w:szCs w:val="20"/>
        </w:rPr>
      </w:pPr>
      <w:r w:rsidRPr="00AD55BF">
        <w:rPr>
          <w:rFonts w:ascii="Arial" w:hAnsi="Arial" w:cs="Arial"/>
          <w:sz w:val="20"/>
          <w:szCs w:val="20"/>
        </w:rPr>
        <w:t>Acted for subcontractor specializing in pipe jacking works pertaining to disputes in adjudication and in court</w:t>
      </w:r>
    </w:p>
    <w:p w14:paraId="5F79E64B" w14:textId="77777777" w:rsidR="00AD55BF" w:rsidRPr="00AD55BF" w:rsidRDefault="00AD55BF" w:rsidP="00AD55BF">
      <w:pPr>
        <w:spacing w:after="0"/>
        <w:ind w:left="789" w:hanging="706"/>
        <w:jc w:val="both"/>
        <w:rPr>
          <w:rFonts w:ascii="Arial" w:hAnsi="Arial" w:cs="Arial"/>
          <w:sz w:val="20"/>
          <w:szCs w:val="20"/>
        </w:rPr>
      </w:pPr>
    </w:p>
    <w:p w14:paraId="5AABDEC7" w14:textId="6284B5F1" w:rsidR="00AD55BF" w:rsidRPr="00AD55BF" w:rsidRDefault="00AD55BF" w:rsidP="00AD55BF">
      <w:pPr>
        <w:pStyle w:val="ListParagraph"/>
        <w:numPr>
          <w:ilvl w:val="0"/>
          <w:numId w:val="7"/>
        </w:numPr>
        <w:spacing w:after="0"/>
        <w:rPr>
          <w:rFonts w:ascii="Arial" w:hAnsi="Arial" w:cs="Arial"/>
          <w:sz w:val="20"/>
        </w:rPr>
      </w:pPr>
      <w:r w:rsidRPr="00AD55BF">
        <w:rPr>
          <w:rFonts w:ascii="Arial" w:hAnsi="Arial" w:cs="Arial"/>
          <w:sz w:val="20"/>
        </w:rPr>
        <w:t>Acted for the specialist structural steel contractor in disputes in respect of the construction of the Putrajaya Mosque</w:t>
      </w:r>
    </w:p>
    <w:p w14:paraId="664128B2" w14:textId="77777777" w:rsidR="00D931B9" w:rsidRDefault="00D931B9" w:rsidP="00D931B9">
      <w:pPr>
        <w:spacing w:after="0"/>
        <w:ind w:left="-180"/>
        <w:rPr>
          <w:rFonts w:ascii="Arial" w:hAnsi="Arial" w:cs="Arial"/>
        </w:rPr>
      </w:pPr>
    </w:p>
    <w:p w14:paraId="6CC32CEC" w14:textId="77777777" w:rsidR="00D931B9" w:rsidRDefault="00D931B9" w:rsidP="00AD55BF">
      <w:pPr>
        <w:pBdr>
          <w:top w:val="single" w:sz="4" w:space="1" w:color="auto"/>
        </w:pBdr>
        <w:spacing w:after="0"/>
        <w:ind w:left="-180"/>
        <w:rPr>
          <w:rFonts w:ascii="Arial" w:hAnsi="Arial" w:cs="Arial"/>
        </w:rPr>
      </w:pPr>
    </w:p>
    <w:p w14:paraId="285E2CBB" w14:textId="77777777" w:rsidR="0043149D" w:rsidRDefault="00D931B9" w:rsidP="0043149D">
      <w:pPr>
        <w:spacing w:after="0"/>
        <w:ind w:left="-180"/>
        <w:rPr>
          <w:rFonts w:ascii="Arial" w:hAnsi="Arial" w:cs="Arial"/>
          <w:b/>
          <w:bCs/>
        </w:rPr>
      </w:pPr>
      <w:r w:rsidRPr="00686D15">
        <w:rPr>
          <w:rFonts w:ascii="Arial" w:hAnsi="Arial" w:cs="Arial"/>
          <w:b/>
          <w:bCs/>
        </w:rPr>
        <w:t>PUBLICATIONS</w:t>
      </w:r>
    </w:p>
    <w:p w14:paraId="133CF2A0" w14:textId="77777777" w:rsidR="0043149D" w:rsidRDefault="0043149D" w:rsidP="0043149D">
      <w:pPr>
        <w:spacing w:after="0"/>
        <w:ind w:left="-180"/>
        <w:rPr>
          <w:rFonts w:ascii="Arial" w:hAnsi="Arial" w:cs="Arial"/>
          <w:b/>
          <w:bCs/>
        </w:rPr>
      </w:pPr>
    </w:p>
    <w:p w14:paraId="6335BBEE" w14:textId="7861D7C7" w:rsidR="00AD55BF" w:rsidRPr="0043149D" w:rsidRDefault="0043149D" w:rsidP="0043149D">
      <w:pPr>
        <w:spacing w:after="0"/>
        <w:ind w:left="-180"/>
        <w:rPr>
          <w:rFonts w:ascii="Arial" w:hAnsi="Arial" w:cs="Arial"/>
          <w:b/>
          <w:bCs/>
        </w:rPr>
      </w:pPr>
      <w:r>
        <w:rPr>
          <w:rFonts w:ascii="Arial" w:hAnsi="Arial" w:cs="Arial"/>
        </w:rPr>
        <w:t xml:space="preserve">Min Lee </w:t>
      </w:r>
      <w:r w:rsidRPr="00D840B9">
        <w:rPr>
          <w:rFonts w:ascii="Arial" w:hAnsi="Arial" w:cs="Arial"/>
        </w:rPr>
        <w:t>has authored/ co-authored various publications including:</w:t>
      </w:r>
      <w:r w:rsidR="00E85CC5">
        <w:rPr>
          <w:rFonts w:ascii="Arial" w:hAnsi="Arial" w:cs="Arial"/>
        </w:rPr>
        <w:t xml:space="preserve"> </w:t>
      </w:r>
      <w:r w:rsidR="00E85CC5" w:rsidRPr="00E85CC5">
        <w:rPr>
          <w:rFonts w:ascii="Arial" w:hAnsi="Arial" w:cs="Arial"/>
          <w:highlight w:val="yellow"/>
        </w:rPr>
        <w:t>[create links for these articles in Perspectives]</w:t>
      </w:r>
    </w:p>
    <w:p w14:paraId="2C32F625" w14:textId="17A58B85" w:rsidR="00E85CC5" w:rsidRDefault="00E85CC5" w:rsidP="00D931B9">
      <w:pPr>
        <w:pStyle w:val="ListParagraph"/>
        <w:numPr>
          <w:ilvl w:val="0"/>
          <w:numId w:val="2"/>
        </w:numPr>
        <w:spacing w:after="0"/>
        <w:rPr>
          <w:rFonts w:ascii="Arial" w:hAnsi="Arial" w:cs="Arial"/>
          <w:sz w:val="20"/>
        </w:rPr>
      </w:pPr>
      <w:r w:rsidRPr="00E85CC5">
        <w:rPr>
          <w:rFonts w:ascii="Arial" w:hAnsi="Arial" w:cs="Arial"/>
          <w:sz w:val="20"/>
        </w:rPr>
        <w:t>High court grants injunction to restrain winding-up proceeding based on disputed adjudication decision</w:t>
      </w:r>
    </w:p>
    <w:p w14:paraId="121E9CFB" w14:textId="2B7DCA4C" w:rsidR="00D931B9" w:rsidRDefault="00AD55BF" w:rsidP="00D931B9">
      <w:pPr>
        <w:pStyle w:val="ListParagraph"/>
        <w:numPr>
          <w:ilvl w:val="0"/>
          <w:numId w:val="2"/>
        </w:numPr>
        <w:spacing w:after="0"/>
        <w:rPr>
          <w:rFonts w:ascii="Arial" w:hAnsi="Arial" w:cs="Arial"/>
          <w:sz w:val="20"/>
        </w:rPr>
      </w:pPr>
      <w:r w:rsidRPr="00AD55BF">
        <w:rPr>
          <w:rFonts w:ascii="Arial" w:hAnsi="Arial" w:cs="Arial"/>
          <w:sz w:val="20"/>
        </w:rPr>
        <w:lastRenderedPageBreak/>
        <w:t>Impact of the MCO on Contracts for Private Sectors specifically on Timelines</w:t>
      </w:r>
    </w:p>
    <w:p w14:paraId="0589F427" w14:textId="2507F910" w:rsidR="00E85CC5" w:rsidRDefault="00E85CC5" w:rsidP="00D931B9">
      <w:pPr>
        <w:pStyle w:val="ListParagraph"/>
        <w:numPr>
          <w:ilvl w:val="0"/>
          <w:numId w:val="2"/>
        </w:numPr>
        <w:spacing w:after="0"/>
        <w:rPr>
          <w:rFonts w:ascii="Arial" w:hAnsi="Arial" w:cs="Arial"/>
          <w:sz w:val="20"/>
        </w:rPr>
      </w:pPr>
      <w:r w:rsidRPr="00E85CC5">
        <w:rPr>
          <w:rFonts w:ascii="Arial" w:hAnsi="Arial" w:cs="Arial"/>
          <w:sz w:val="20"/>
        </w:rPr>
        <w:t>Impact of the MCO on Tenants</w:t>
      </w:r>
    </w:p>
    <w:p w14:paraId="1004CE44" w14:textId="2369BAB5" w:rsidR="00686D15" w:rsidRDefault="00686D15" w:rsidP="00686D15">
      <w:pPr>
        <w:pStyle w:val="ListParagraph"/>
        <w:spacing w:after="0"/>
        <w:ind w:left="630"/>
        <w:rPr>
          <w:rFonts w:ascii="Arial" w:hAnsi="Arial" w:cs="Arial"/>
          <w:sz w:val="20"/>
        </w:rPr>
      </w:pPr>
    </w:p>
    <w:sectPr w:rsidR="00686D15" w:rsidSect="00AD55BF">
      <w:type w:val="continuous"/>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73BAE"/>
    <w:multiLevelType w:val="multilevel"/>
    <w:tmpl w:val="EC368CA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518FE"/>
    <w:multiLevelType w:val="hybridMultilevel"/>
    <w:tmpl w:val="F5369970"/>
    <w:lvl w:ilvl="0" w:tplc="44090001">
      <w:start w:val="1"/>
      <w:numFmt w:val="bullet"/>
      <w:lvlText w:val=""/>
      <w:lvlJc w:val="left"/>
      <w:pPr>
        <w:ind w:left="540" w:hanging="360"/>
      </w:pPr>
      <w:rPr>
        <w:rFonts w:ascii="Symbol" w:hAnsi="Symbol" w:hint="default"/>
      </w:rPr>
    </w:lvl>
    <w:lvl w:ilvl="1" w:tplc="44090003" w:tentative="1">
      <w:start w:val="1"/>
      <w:numFmt w:val="bullet"/>
      <w:lvlText w:val="o"/>
      <w:lvlJc w:val="left"/>
      <w:pPr>
        <w:ind w:left="1260" w:hanging="360"/>
      </w:pPr>
      <w:rPr>
        <w:rFonts w:ascii="Courier New" w:hAnsi="Courier New" w:cs="Courier New" w:hint="default"/>
      </w:rPr>
    </w:lvl>
    <w:lvl w:ilvl="2" w:tplc="44090005" w:tentative="1">
      <w:start w:val="1"/>
      <w:numFmt w:val="bullet"/>
      <w:lvlText w:val=""/>
      <w:lvlJc w:val="left"/>
      <w:pPr>
        <w:ind w:left="1980" w:hanging="360"/>
      </w:pPr>
      <w:rPr>
        <w:rFonts w:ascii="Wingdings" w:hAnsi="Wingdings" w:hint="default"/>
      </w:rPr>
    </w:lvl>
    <w:lvl w:ilvl="3" w:tplc="44090001" w:tentative="1">
      <w:start w:val="1"/>
      <w:numFmt w:val="bullet"/>
      <w:lvlText w:val=""/>
      <w:lvlJc w:val="left"/>
      <w:pPr>
        <w:ind w:left="2700" w:hanging="360"/>
      </w:pPr>
      <w:rPr>
        <w:rFonts w:ascii="Symbol" w:hAnsi="Symbol" w:hint="default"/>
      </w:rPr>
    </w:lvl>
    <w:lvl w:ilvl="4" w:tplc="44090003" w:tentative="1">
      <w:start w:val="1"/>
      <w:numFmt w:val="bullet"/>
      <w:lvlText w:val="o"/>
      <w:lvlJc w:val="left"/>
      <w:pPr>
        <w:ind w:left="3420" w:hanging="360"/>
      </w:pPr>
      <w:rPr>
        <w:rFonts w:ascii="Courier New" w:hAnsi="Courier New" w:cs="Courier New" w:hint="default"/>
      </w:rPr>
    </w:lvl>
    <w:lvl w:ilvl="5" w:tplc="44090005" w:tentative="1">
      <w:start w:val="1"/>
      <w:numFmt w:val="bullet"/>
      <w:lvlText w:val=""/>
      <w:lvlJc w:val="left"/>
      <w:pPr>
        <w:ind w:left="4140" w:hanging="360"/>
      </w:pPr>
      <w:rPr>
        <w:rFonts w:ascii="Wingdings" w:hAnsi="Wingdings" w:hint="default"/>
      </w:rPr>
    </w:lvl>
    <w:lvl w:ilvl="6" w:tplc="44090001" w:tentative="1">
      <w:start w:val="1"/>
      <w:numFmt w:val="bullet"/>
      <w:lvlText w:val=""/>
      <w:lvlJc w:val="left"/>
      <w:pPr>
        <w:ind w:left="4860" w:hanging="360"/>
      </w:pPr>
      <w:rPr>
        <w:rFonts w:ascii="Symbol" w:hAnsi="Symbol" w:hint="default"/>
      </w:rPr>
    </w:lvl>
    <w:lvl w:ilvl="7" w:tplc="44090003" w:tentative="1">
      <w:start w:val="1"/>
      <w:numFmt w:val="bullet"/>
      <w:lvlText w:val="o"/>
      <w:lvlJc w:val="left"/>
      <w:pPr>
        <w:ind w:left="5580" w:hanging="360"/>
      </w:pPr>
      <w:rPr>
        <w:rFonts w:ascii="Courier New" w:hAnsi="Courier New" w:cs="Courier New" w:hint="default"/>
      </w:rPr>
    </w:lvl>
    <w:lvl w:ilvl="8" w:tplc="44090005" w:tentative="1">
      <w:start w:val="1"/>
      <w:numFmt w:val="bullet"/>
      <w:lvlText w:val=""/>
      <w:lvlJc w:val="left"/>
      <w:pPr>
        <w:ind w:left="6300" w:hanging="360"/>
      </w:pPr>
      <w:rPr>
        <w:rFonts w:ascii="Wingdings" w:hAnsi="Wingdings" w:hint="default"/>
      </w:rPr>
    </w:lvl>
  </w:abstractNum>
  <w:abstractNum w:abstractNumId="2" w15:restartNumberingAfterBreak="0">
    <w:nsid w:val="32482099"/>
    <w:multiLevelType w:val="multilevel"/>
    <w:tmpl w:val="3AE011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05818"/>
    <w:multiLevelType w:val="multilevel"/>
    <w:tmpl w:val="C6F6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5509C3"/>
    <w:multiLevelType w:val="hybridMultilevel"/>
    <w:tmpl w:val="78AAA13E"/>
    <w:lvl w:ilvl="0" w:tplc="44090001">
      <w:start w:val="1"/>
      <w:numFmt w:val="bullet"/>
      <w:lvlText w:val=""/>
      <w:lvlJc w:val="left"/>
      <w:pPr>
        <w:ind w:left="630" w:hanging="360"/>
      </w:pPr>
      <w:rPr>
        <w:rFonts w:ascii="Symbol" w:hAnsi="Symbol" w:hint="default"/>
      </w:rPr>
    </w:lvl>
    <w:lvl w:ilvl="1" w:tplc="44090003" w:tentative="1">
      <w:start w:val="1"/>
      <w:numFmt w:val="bullet"/>
      <w:lvlText w:val="o"/>
      <w:lvlJc w:val="left"/>
      <w:pPr>
        <w:ind w:left="1350" w:hanging="360"/>
      </w:pPr>
      <w:rPr>
        <w:rFonts w:ascii="Courier New" w:hAnsi="Courier New" w:cs="Courier New" w:hint="default"/>
      </w:rPr>
    </w:lvl>
    <w:lvl w:ilvl="2" w:tplc="44090005" w:tentative="1">
      <w:start w:val="1"/>
      <w:numFmt w:val="bullet"/>
      <w:lvlText w:val=""/>
      <w:lvlJc w:val="left"/>
      <w:pPr>
        <w:ind w:left="2070" w:hanging="360"/>
      </w:pPr>
      <w:rPr>
        <w:rFonts w:ascii="Wingdings" w:hAnsi="Wingdings" w:hint="default"/>
      </w:rPr>
    </w:lvl>
    <w:lvl w:ilvl="3" w:tplc="44090001" w:tentative="1">
      <w:start w:val="1"/>
      <w:numFmt w:val="bullet"/>
      <w:lvlText w:val=""/>
      <w:lvlJc w:val="left"/>
      <w:pPr>
        <w:ind w:left="2790" w:hanging="360"/>
      </w:pPr>
      <w:rPr>
        <w:rFonts w:ascii="Symbol" w:hAnsi="Symbol" w:hint="default"/>
      </w:rPr>
    </w:lvl>
    <w:lvl w:ilvl="4" w:tplc="44090003" w:tentative="1">
      <w:start w:val="1"/>
      <w:numFmt w:val="bullet"/>
      <w:lvlText w:val="o"/>
      <w:lvlJc w:val="left"/>
      <w:pPr>
        <w:ind w:left="3510" w:hanging="360"/>
      </w:pPr>
      <w:rPr>
        <w:rFonts w:ascii="Courier New" w:hAnsi="Courier New" w:cs="Courier New" w:hint="default"/>
      </w:rPr>
    </w:lvl>
    <w:lvl w:ilvl="5" w:tplc="44090005" w:tentative="1">
      <w:start w:val="1"/>
      <w:numFmt w:val="bullet"/>
      <w:lvlText w:val=""/>
      <w:lvlJc w:val="left"/>
      <w:pPr>
        <w:ind w:left="4230" w:hanging="360"/>
      </w:pPr>
      <w:rPr>
        <w:rFonts w:ascii="Wingdings" w:hAnsi="Wingdings" w:hint="default"/>
      </w:rPr>
    </w:lvl>
    <w:lvl w:ilvl="6" w:tplc="44090001" w:tentative="1">
      <w:start w:val="1"/>
      <w:numFmt w:val="bullet"/>
      <w:lvlText w:val=""/>
      <w:lvlJc w:val="left"/>
      <w:pPr>
        <w:ind w:left="4950" w:hanging="360"/>
      </w:pPr>
      <w:rPr>
        <w:rFonts w:ascii="Symbol" w:hAnsi="Symbol" w:hint="default"/>
      </w:rPr>
    </w:lvl>
    <w:lvl w:ilvl="7" w:tplc="44090003" w:tentative="1">
      <w:start w:val="1"/>
      <w:numFmt w:val="bullet"/>
      <w:lvlText w:val="o"/>
      <w:lvlJc w:val="left"/>
      <w:pPr>
        <w:ind w:left="5670" w:hanging="360"/>
      </w:pPr>
      <w:rPr>
        <w:rFonts w:ascii="Courier New" w:hAnsi="Courier New" w:cs="Courier New" w:hint="default"/>
      </w:rPr>
    </w:lvl>
    <w:lvl w:ilvl="8" w:tplc="44090005" w:tentative="1">
      <w:start w:val="1"/>
      <w:numFmt w:val="bullet"/>
      <w:lvlText w:val=""/>
      <w:lvlJc w:val="left"/>
      <w:pPr>
        <w:ind w:left="6390" w:hanging="360"/>
      </w:pPr>
      <w:rPr>
        <w:rFonts w:ascii="Wingdings" w:hAnsi="Wingdings" w:hint="default"/>
      </w:rPr>
    </w:lvl>
  </w:abstractNum>
  <w:abstractNum w:abstractNumId="5" w15:restartNumberingAfterBreak="0">
    <w:nsid w:val="6B946359"/>
    <w:multiLevelType w:val="hybridMultilevel"/>
    <w:tmpl w:val="3C562A56"/>
    <w:lvl w:ilvl="0" w:tplc="44090001">
      <w:start w:val="1"/>
      <w:numFmt w:val="bullet"/>
      <w:lvlText w:val=""/>
      <w:lvlJc w:val="left"/>
      <w:pPr>
        <w:ind w:left="630" w:hanging="360"/>
      </w:pPr>
      <w:rPr>
        <w:rFonts w:ascii="Symbol" w:hAnsi="Symbol" w:hint="default"/>
      </w:rPr>
    </w:lvl>
    <w:lvl w:ilvl="1" w:tplc="44090003" w:tentative="1">
      <w:start w:val="1"/>
      <w:numFmt w:val="bullet"/>
      <w:lvlText w:val="o"/>
      <w:lvlJc w:val="left"/>
      <w:pPr>
        <w:ind w:left="1350" w:hanging="360"/>
      </w:pPr>
      <w:rPr>
        <w:rFonts w:ascii="Courier New" w:hAnsi="Courier New" w:cs="Courier New" w:hint="default"/>
      </w:rPr>
    </w:lvl>
    <w:lvl w:ilvl="2" w:tplc="44090005" w:tentative="1">
      <w:start w:val="1"/>
      <w:numFmt w:val="bullet"/>
      <w:lvlText w:val=""/>
      <w:lvlJc w:val="left"/>
      <w:pPr>
        <w:ind w:left="2070" w:hanging="360"/>
      </w:pPr>
      <w:rPr>
        <w:rFonts w:ascii="Wingdings" w:hAnsi="Wingdings" w:hint="default"/>
      </w:rPr>
    </w:lvl>
    <w:lvl w:ilvl="3" w:tplc="44090001" w:tentative="1">
      <w:start w:val="1"/>
      <w:numFmt w:val="bullet"/>
      <w:lvlText w:val=""/>
      <w:lvlJc w:val="left"/>
      <w:pPr>
        <w:ind w:left="2790" w:hanging="360"/>
      </w:pPr>
      <w:rPr>
        <w:rFonts w:ascii="Symbol" w:hAnsi="Symbol" w:hint="default"/>
      </w:rPr>
    </w:lvl>
    <w:lvl w:ilvl="4" w:tplc="44090003" w:tentative="1">
      <w:start w:val="1"/>
      <w:numFmt w:val="bullet"/>
      <w:lvlText w:val="o"/>
      <w:lvlJc w:val="left"/>
      <w:pPr>
        <w:ind w:left="3510" w:hanging="360"/>
      </w:pPr>
      <w:rPr>
        <w:rFonts w:ascii="Courier New" w:hAnsi="Courier New" w:cs="Courier New" w:hint="default"/>
      </w:rPr>
    </w:lvl>
    <w:lvl w:ilvl="5" w:tplc="44090005" w:tentative="1">
      <w:start w:val="1"/>
      <w:numFmt w:val="bullet"/>
      <w:lvlText w:val=""/>
      <w:lvlJc w:val="left"/>
      <w:pPr>
        <w:ind w:left="4230" w:hanging="360"/>
      </w:pPr>
      <w:rPr>
        <w:rFonts w:ascii="Wingdings" w:hAnsi="Wingdings" w:hint="default"/>
      </w:rPr>
    </w:lvl>
    <w:lvl w:ilvl="6" w:tplc="44090001" w:tentative="1">
      <w:start w:val="1"/>
      <w:numFmt w:val="bullet"/>
      <w:lvlText w:val=""/>
      <w:lvlJc w:val="left"/>
      <w:pPr>
        <w:ind w:left="4950" w:hanging="360"/>
      </w:pPr>
      <w:rPr>
        <w:rFonts w:ascii="Symbol" w:hAnsi="Symbol" w:hint="default"/>
      </w:rPr>
    </w:lvl>
    <w:lvl w:ilvl="7" w:tplc="44090003" w:tentative="1">
      <w:start w:val="1"/>
      <w:numFmt w:val="bullet"/>
      <w:lvlText w:val="o"/>
      <w:lvlJc w:val="left"/>
      <w:pPr>
        <w:ind w:left="5670" w:hanging="360"/>
      </w:pPr>
      <w:rPr>
        <w:rFonts w:ascii="Courier New" w:hAnsi="Courier New" w:cs="Courier New" w:hint="default"/>
      </w:rPr>
    </w:lvl>
    <w:lvl w:ilvl="8" w:tplc="44090005" w:tentative="1">
      <w:start w:val="1"/>
      <w:numFmt w:val="bullet"/>
      <w:lvlText w:val=""/>
      <w:lvlJc w:val="left"/>
      <w:pPr>
        <w:ind w:left="6390" w:hanging="360"/>
      </w:pPr>
      <w:rPr>
        <w:rFonts w:ascii="Wingdings" w:hAnsi="Wingdings" w:hint="default"/>
      </w:rPr>
    </w:lvl>
  </w:abstractNum>
  <w:abstractNum w:abstractNumId="6" w15:restartNumberingAfterBreak="0">
    <w:nsid w:val="7FB22145"/>
    <w:multiLevelType w:val="multilevel"/>
    <w:tmpl w:val="C6F6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D9"/>
    <w:rsid w:val="00015DF5"/>
    <w:rsid w:val="000F6377"/>
    <w:rsid w:val="00202510"/>
    <w:rsid w:val="00225CFF"/>
    <w:rsid w:val="0043149D"/>
    <w:rsid w:val="00543780"/>
    <w:rsid w:val="00686D15"/>
    <w:rsid w:val="00A1273A"/>
    <w:rsid w:val="00AD55BF"/>
    <w:rsid w:val="00B83249"/>
    <w:rsid w:val="00C969D9"/>
    <w:rsid w:val="00CC2690"/>
    <w:rsid w:val="00D931B9"/>
    <w:rsid w:val="00DD7991"/>
    <w:rsid w:val="00E85CC5"/>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3A31"/>
  <w15:chartTrackingRefBased/>
  <w15:docId w15:val="{91778305-CC63-445C-B983-28D084D5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5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510"/>
    <w:rPr>
      <w:color w:val="0563C1" w:themeColor="hyperlink"/>
      <w:u w:val="single"/>
    </w:rPr>
  </w:style>
  <w:style w:type="paragraph" w:styleId="ListParagraph">
    <w:name w:val="List Paragraph"/>
    <w:basedOn w:val="Normal"/>
    <w:uiPriority w:val="34"/>
    <w:qFormat/>
    <w:rsid w:val="00D931B9"/>
    <w:pPr>
      <w:spacing w:after="120" w:line="240" w:lineRule="auto"/>
      <w:ind w:left="720"/>
      <w:contextualSpacing/>
      <w:jc w:val="both"/>
    </w:pPr>
    <w:rPr>
      <w:rFonts w:ascii="Times New Roman" w:eastAsia="Times New Roman" w:hAnsi="Times New Roman" w:cs="Times New Roman"/>
      <w:snapToGrid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nlee@ganlaw.m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Wah Foo</dc:creator>
  <cp:keywords/>
  <dc:description/>
  <cp:lastModifiedBy>yuen wah foo</cp:lastModifiedBy>
  <cp:revision>16</cp:revision>
  <dcterms:created xsi:type="dcterms:W3CDTF">2020-05-26T09:43:00Z</dcterms:created>
  <dcterms:modified xsi:type="dcterms:W3CDTF">2020-06-24T13:21:00Z</dcterms:modified>
</cp:coreProperties>
</file>