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A42DA" w14:textId="130D995C" w:rsidR="00C5174D" w:rsidRPr="007E4E93" w:rsidRDefault="00C5174D" w:rsidP="00C5174D">
      <w:pPr>
        <w:spacing w:after="0"/>
        <w:ind w:left="-180"/>
        <w:rPr>
          <w:rFonts w:ascii="Arial" w:hAnsi="Arial" w:cs="Arial"/>
          <w:b/>
          <w:bCs/>
          <w:sz w:val="22"/>
          <w:szCs w:val="22"/>
        </w:rPr>
      </w:pPr>
      <w:r w:rsidRPr="007E4E93">
        <w:rPr>
          <w:rFonts w:ascii="Arial" w:hAnsi="Arial" w:cs="Arial"/>
          <w:b/>
          <w:bCs/>
          <w:sz w:val="22"/>
          <w:szCs w:val="22"/>
        </w:rPr>
        <w:t>F</w:t>
      </w:r>
      <w:r>
        <w:rPr>
          <w:rFonts w:ascii="Arial" w:hAnsi="Arial" w:cs="Arial"/>
          <w:b/>
          <w:bCs/>
          <w:sz w:val="22"/>
          <w:szCs w:val="22"/>
        </w:rPr>
        <w:t>OO</w:t>
      </w:r>
      <w:r w:rsidRPr="007E4E93">
        <w:rPr>
          <w:rFonts w:ascii="Arial" w:hAnsi="Arial" w:cs="Arial"/>
          <w:b/>
          <w:bCs/>
          <w:sz w:val="22"/>
          <w:szCs w:val="22"/>
        </w:rPr>
        <w:t xml:space="preserve"> Joon Liang </w:t>
      </w:r>
      <w:proofErr w:type="spellStart"/>
      <w:r w:rsidRPr="00235268">
        <w:rPr>
          <w:rFonts w:ascii="Arial" w:hAnsi="Arial" w:cs="Arial"/>
          <w:b/>
          <w:bCs/>
          <w:i/>
          <w:iCs/>
          <w:sz w:val="18"/>
          <w:szCs w:val="18"/>
        </w:rPr>
        <w:t>FCIArb</w:t>
      </w:r>
      <w:proofErr w:type="spellEnd"/>
    </w:p>
    <w:p w14:paraId="27A5C2DC" w14:textId="06EB34CF" w:rsidR="00555D39" w:rsidRPr="001E4609" w:rsidRDefault="00555D39" w:rsidP="00BB124A">
      <w:pPr>
        <w:spacing w:after="0"/>
        <w:ind w:left="-180"/>
        <w:rPr>
          <w:rFonts w:ascii="Arial" w:hAnsi="Arial" w:cs="Arial"/>
          <w:sz w:val="22"/>
          <w:szCs w:val="22"/>
        </w:rPr>
      </w:pPr>
      <w:r>
        <w:rPr>
          <w:rFonts w:ascii="Arial" w:hAnsi="Arial" w:cs="Arial"/>
          <w:i/>
          <w:iCs/>
          <w:sz w:val="22"/>
          <w:szCs w:val="22"/>
        </w:rPr>
        <w:t>Partner</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00BB124A">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sz w:val="22"/>
          <w:szCs w:val="22"/>
        </w:rPr>
        <w:t>[Insert Photo DSC 784]</w:t>
      </w:r>
    </w:p>
    <w:p w14:paraId="2DD38CF9" w14:textId="0831AB62" w:rsidR="00C5174D" w:rsidRPr="007E4E93" w:rsidRDefault="00C5174D" w:rsidP="00C5174D">
      <w:pPr>
        <w:spacing w:after="0"/>
        <w:ind w:left="-180"/>
        <w:rPr>
          <w:rFonts w:ascii="Arial" w:hAnsi="Arial" w:cs="Arial"/>
          <w:sz w:val="22"/>
          <w:szCs w:val="22"/>
        </w:rPr>
      </w:pPr>
      <w:r w:rsidRPr="007E4E93">
        <w:rPr>
          <w:rFonts w:ascii="Arial" w:hAnsi="Arial" w:cs="Arial"/>
          <w:sz w:val="22"/>
          <w:szCs w:val="22"/>
        </w:rPr>
        <w:t>E:</w:t>
      </w:r>
      <w:r w:rsidRPr="007E4E93">
        <w:rPr>
          <w:rFonts w:ascii="Arial" w:hAnsi="Arial" w:cs="Arial"/>
          <w:sz w:val="22"/>
          <w:szCs w:val="22"/>
        </w:rPr>
        <w:tab/>
      </w:r>
      <w:hyperlink r:id="rId8" w:history="1">
        <w:r w:rsidRPr="00B41D63">
          <w:rPr>
            <w:rStyle w:val="Hyperlink"/>
            <w:rFonts w:ascii="Arial" w:hAnsi="Arial" w:cs="Arial"/>
            <w:sz w:val="22"/>
            <w:szCs w:val="22"/>
          </w:rPr>
          <w:t>joonliang@ganlaw.my</w:t>
        </w:r>
      </w:hyperlink>
      <w:r>
        <w:rPr>
          <w:rFonts w:ascii="Arial" w:hAnsi="Arial" w:cs="Arial"/>
          <w:sz w:val="22"/>
          <w:szCs w:val="22"/>
        </w:rPr>
        <w:t xml:space="preserve"> </w:t>
      </w:r>
      <w:r w:rsidRPr="007E4E93">
        <w:rPr>
          <w:rFonts w:ascii="Arial" w:hAnsi="Arial" w:cs="Arial"/>
          <w:sz w:val="22"/>
          <w:szCs w:val="22"/>
        </w:rPr>
        <w:t xml:space="preserve"> </w:t>
      </w:r>
      <w:r w:rsidRPr="007E4E93">
        <w:rPr>
          <w:rFonts w:ascii="Arial" w:hAnsi="Arial" w:cs="Arial"/>
          <w:sz w:val="22"/>
          <w:szCs w:val="22"/>
        </w:rPr>
        <w:tab/>
      </w:r>
    </w:p>
    <w:p w14:paraId="3EAFEB39" w14:textId="77777777" w:rsidR="00C5174D" w:rsidRDefault="00C5174D" w:rsidP="00C5174D">
      <w:pPr>
        <w:spacing w:after="0"/>
        <w:ind w:left="-180"/>
        <w:rPr>
          <w:rFonts w:ascii="Arial" w:hAnsi="Arial" w:cs="Arial"/>
          <w:sz w:val="22"/>
          <w:szCs w:val="22"/>
        </w:rPr>
      </w:pPr>
    </w:p>
    <w:p w14:paraId="27707498" w14:textId="77777777" w:rsidR="00555D39" w:rsidRDefault="00555D39" w:rsidP="00C5174D">
      <w:pPr>
        <w:spacing w:after="0"/>
        <w:ind w:left="-180"/>
        <w:rPr>
          <w:rFonts w:ascii="Arial" w:hAnsi="Arial" w:cs="Arial"/>
          <w:b/>
          <w:bCs/>
          <w:sz w:val="20"/>
        </w:rPr>
        <w:sectPr w:rsidR="00555D39" w:rsidSect="00555D3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20" w:footer="720" w:gutter="0"/>
          <w:cols w:space="720"/>
          <w:docGrid w:linePitch="360"/>
        </w:sectPr>
      </w:pPr>
    </w:p>
    <w:p w14:paraId="4E3391C1" w14:textId="77777777" w:rsidR="00555D39" w:rsidRDefault="00555D39" w:rsidP="00555D39">
      <w:pPr>
        <w:spacing w:after="0"/>
        <w:ind w:left="-180"/>
        <w:rPr>
          <w:rFonts w:ascii="Arial" w:hAnsi="Arial" w:cs="Arial"/>
          <w:b/>
          <w:bCs/>
          <w:sz w:val="22"/>
          <w:szCs w:val="22"/>
        </w:rPr>
      </w:pPr>
    </w:p>
    <w:p w14:paraId="1A91502D" w14:textId="18A35D00" w:rsidR="00555D39" w:rsidRPr="00C5174D" w:rsidRDefault="00555D39" w:rsidP="00555D39">
      <w:pPr>
        <w:spacing w:after="0"/>
        <w:ind w:left="-180"/>
        <w:rPr>
          <w:rFonts w:ascii="Arial" w:hAnsi="Arial" w:cs="Arial"/>
          <w:b/>
          <w:bCs/>
          <w:sz w:val="22"/>
          <w:szCs w:val="22"/>
        </w:rPr>
      </w:pPr>
      <w:r w:rsidRPr="00C5174D">
        <w:rPr>
          <w:rFonts w:ascii="Arial" w:hAnsi="Arial" w:cs="Arial"/>
          <w:b/>
          <w:bCs/>
          <w:sz w:val="22"/>
          <w:szCs w:val="22"/>
        </w:rPr>
        <w:t>PROFILE</w:t>
      </w:r>
    </w:p>
    <w:p w14:paraId="53BD8B6A" w14:textId="77777777" w:rsidR="00555D39" w:rsidRPr="007E4E93" w:rsidRDefault="00555D39" w:rsidP="00555D39">
      <w:pPr>
        <w:spacing w:after="0"/>
        <w:ind w:left="-180"/>
        <w:rPr>
          <w:rFonts w:ascii="Arial" w:hAnsi="Arial" w:cs="Arial"/>
          <w:sz w:val="22"/>
          <w:szCs w:val="22"/>
        </w:rPr>
      </w:pPr>
    </w:p>
    <w:p w14:paraId="420898E0" w14:textId="77777777" w:rsidR="00C3622D" w:rsidRDefault="00555D39" w:rsidP="00555D39">
      <w:pPr>
        <w:spacing w:after="0"/>
        <w:ind w:left="-180"/>
        <w:rPr>
          <w:rFonts w:ascii="Arial" w:hAnsi="Arial" w:cs="Arial"/>
          <w:sz w:val="20"/>
        </w:rPr>
      </w:pPr>
      <w:r w:rsidRPr="00145A0F">
        <w:rPr>
          <w:rFonts w:ascii="Arial" w:hAnsi="Arial" w:cs="Arial"/>
          <w:sz w:val="20"/>
        </w:rPr>
        <w:t>Foo Joon Liang was called to the Malaysian Bar in 2000. He is a partner of Gan Partnership, a firm he co-founded in 2011. He is a Fellow of the Chartered Institute of Arbitrators (</w:t>
      </w:r>
      <w:proofErr w:type="spellStart"/>
      <w:r w:rsidRPr="00145A0F">
        <w:rPr>
          <w:rFonts w:ascii="Arial" w:hAnsi="Arial" w:cs="Arial"/>
          <w:sz w:val="20"/>
        </w:rPr>
        <w:t>CIArb</w:t>
      </w:r>
      <w:proofErr w:type="spellEnd"/>
      <w:r w:rsidRPr="00145A0F">
        <w:rPr>
          <w:rFonts w:ascii="Arial" w:hAnsi="Arial" w:cs="Arial"/>
          <w:sz w:val="20"/>
        </w:rPr>
        <w:t xml:space="preserve">), United Kingdom and the Chairman of the Malaysian Branch of </w:t>
      </w:r>
      <w:proofErr w:type="spellStart"/>
      <w:r w:rsidRPr="00145A0F">
        <w:rPr>
          <w:rFonts w:ascii="Arial" w:hAnsi="Arial" w:cs="Arial"/>
          <w:sz w:val="20"/>
        </w:rPr>
        <w:t>CIArb</w:t>
      </w:r>
      <w:proofErr w:type="spellEnd"/>
      <w:r w:rsidRPr="00145A0F">
        <w:rPr>
          <w:rFonts w:ascii="Arial" w:hAnsi="Arial" w:cs="Arial"/>
          <w:sz w:val="20"/>
        </w:rPr>
        <w:t>. He sits on the panel of arbitrators and adjudicators of the Asian International Arbitration Centre (AIAC</w:t>
      </w:r>
      <w:proofErr w:type="gramStart"/>
      <w:r w:rsidRPr="00145A0F">
        <w:rPr>
          <w:rFonts w:ascii="Arial" w:hAnsi="Arial" w:cs="Arial"/>
          <w:sz w:val="20"/>
        </w:rPr>
        <w:t>), and</w:t>
      </w:r>
      <w:proofErr w:type="gramEnd"/>
      <w:r w:rsidRPr="00145A0F">
        <w:rPr>
          <w:rFonts w:ascii="Arial" w:hAnsi="Arial" w:cs="Arial"/>
          <w:sz w:val="20"/>
        </w:rPr>
        <w:t xml:space="preserve"> is one of the first 10 Malaysian appointees to the panel of arbitrators of the Hainan International Arbitration Court. </w:t>
      </w:r>
    </w:p>
    <w:p w14:paraId="76279988" w14:textId="77777777" w:rsidR="00C3622D" w:rsidRDefault="00C3622D" w:rsidP="00555D39">
      <w:pPr>
        <w:spacing w:after="0"/>
        <w:ind w:left="-180"/>
        <w:rPr>
          <w:rFonts w:ascii="Arial" w:hAnsi="Arial" w:cs="Arial"/>
          <w:sz w:val="20"/>
        </w:rPr>
      </w:pPr>
      <w:bookmarkStart w:id="0" w:name="_Hlk43925109"/>
    </w:p>
    <w:p w14:paraId="299A4846" w14:textId="31B0CCC2" w:rsidR="00555D39" w:rsidRPr="00145A0F" w:rsidRDefault="00C3622D" w:rsidP="00555D39">
      <w:pPr>
        <w:spacing w:after="0"/>
        <w:ind w:left="-180"/>
        <w:rPr>
          <w:rFonts w:ascii="Arial" w:hAnsi="Arial" w:cs="Arial"/>
          <w:sz w:val="20"/>
        </w:rPr>
      </w:pPr>
      <w:r>
        <w:rPr>
          <w:rFonts w:ascii="Arial" w:hAnsi="Arial" w:cs="Arial"/>
          <w:sz w:val="20"/>
        </w:rPr>
        <w:t xml:space="preserve">Joon Liang </w:t>
      </w:r>
      <w:r w:rsidR="00555D39" w:rsidRPr="00145A0F">
        <w:rPr>
          <w:rFonts w:ascii="Arial" w:hAnsi="Arial" w:cs="Arial"/>
          <w:sz w:val="20"/>
        </w:rPr>
        <w:t xml:space="preserve">is listed as a Future Leader in Construction by </w:t>
      </w:r>
      <w:r w:rsidR="00555D39" w:rsidRPr="00145A0F">
        <w:rPr>
          <w:rFonts w:ascii="Arial" w:hAnsi="Arial" w:cs="Arial"/>
          <w:i/>
          <w:iCs/>
          <w:sz w:val="20"/>
        </w:rPr>
        <w:t>Who’s Who Legal</w:t>
      </w:r>
      <w:r w:rsidR="00555D39" w:rsidRPr="00145A0F">
        <w:rPr>
          <w:rFonts w:ascii="Arial" w:hAnsi="Arial" w:cs="Arial"/>
          <w:sz w:val="20"/>
        </w:rPr>
        <w:t xml:space="preserve"> and as a Future </w:t>
      </w:r>
      <w:r>
        <w:rPr>
          <w:rFonts w:ascii="Arial" w:hAnsi="Arial" w:cs="Arial"/>
          <w:sz w:val="20"/>
        </w:rPr>
        <w:t>Sta</w:t>
      </w:r>
      <w:r w:rsidR="00555D39" w:rsidRPr="00145A0F">
        <w:rPr>
          <w:rFonts w:ascii="Arial" w:hAnsi="Arial" w:cs="Arial"/>
          <w:sz w:val="20"/>
        </w:rPr>
        <w:t xml:space="preserve">r in Construction, Dispute </w:t>
      </w:r>
      <w:proofErr w:type="gramStart"/>
      <w:r w:rsidR="00555D39" w:rsidRPr="00145A0F">
        <w:rPr>
          <w:rFonts w:ascii="Arial" w:hAnsi="Arial" w:cs="Arial"/>
          <w:sz w:val="20"/>
        </w:rPr>
        <w:t>Resolution</w:t>
      </w:r>
      <w:proofErr w:type="gramEnd"/>
      <w:r w:rsidR="00555D39" w:rsidRPr="00145A0F">
        <w:rPr>
          <w:rFonts w:ascii="Arial" w:hAnsi="Arial" w:cs="Arial"/>
          <w:sz w:val="20"/>
        </w:rPr>
        <w:t xml:space="preserve"> and International Arbitration by </w:t>
      </w:r>
      <w:r w:rsidR="00555D39" w:rsidRPr="00145A0F">
        <w:rPr>
          <w:rFonts w:ascii="Arial" w:hAnsi="Arial" w:cs="Arial"/>
          <w:i/>
          <w:iCs/>
          <w:sz w:val="20"/>
        </w:rPr>
        <w:t>Benchmark Litigation</w:t>
      </w:r>
      <w:r w:rsidR="00555D39" w:rsidRPr="00145A0F">
        <w:rPr>
          <w:rFonts w:ascii="Arial" w:hAnsi="Arial" w:cs="Arial"/>
          <w:sz w:val="20"/>
        </w:rPr>
        <w:t>.</w:t>
      </w:r>
    </w:p>
    <w:bookmarkEnd w:id="0"/>
    <w:p w14:paraId="1ED370A9" w14:textId="77777777" w:rsidR="00555D39" w:rsidRPr="00145A0F" w:rsidRDefault="00555D39" w:rsidP="00555D39">
      <w:pPr>
        <w:spacing w:after="0"/>
        <w:ind w:left="-180"/>
        <w:rPr>
          <w:rFonts w:ascii="Arial" w:hAnsi="Arial" w:cs="Arial"/>
          <w:sz w:val="20"/>
        </w:rPr>
      </w:pPr>
    </w:p>
    <w:p w14:paraId="3095C4F5" w14:textId="77777777" w:rsidR="00555D39" w:rsidRPr="00145A0F" w:rsidRDefault="00555D39" w:rsidP="00555D39">
      <w:pPr>
        <w:spacing w:after="0"/>
        <w:ind w:left="-180"/>
        <w:rPr>
          <w:rFonts w:ascii="Arial" w:hAnsi="Arial" w:cs="Arial"/>
          <w:sz w:val="20"/>
        </w:rPr>
      </w:pPr>
      <w:r w:rsidRPr="00145A0F">
        <w:rPr>
          <w:rFonts w:ascii="Arial" w:hAnsi="Arial" w:cs="Arial"/>
          <w:sz w:val="20"/>
        </w:rPr>
        <w:t>Joon Liang has spent the past 20 years building upon an active dispute resolution practice in arbitration, litigation and more recently in adjudication. He regularly appears as counsel in arbitration as well as at all levels of the Malaysian courts. He has advised and acted in a broad spectrum of disputes, from engineering, construction, power, contract, securities, to company and shareholder disputes.</w:t>
      </w:r>
    </w:p>
    <w:p w14:paraId="7CB1C25E" w14:textId="77777777" w:rsidR="00555D39" w:rsidRPr="00145A0F" w:rsidRDefault="00555D39" w:rsidP="00555D39">
      <w:pPr>
        <w:spacing w:after="0"/>
        <w:ind w:left="-180"/>
        <w:rPr>
          <w:rFonts w:ascii="Arial" w:hAnsi="Arial" w:cs="Arial"/>
          <w:sz w:val="20"/>
        </w:rPr>
      </w:pPr>
    </w:p>
    <w:p w14:paraId="7E55EAFC" w14:textId="2D574643" w:rsidR="00C5174D" w:rsidRDefault="00555D39" w:rsidP="00C5174D">
      <w:pPr>
        <w:spacing w:after="0"/>
        <w:ind w:left="-180"/>
        <w:rPr>
          <w:rFonts w:ascii="Arial" w:hAnsi="Arial" w:cs="Arial"/>
          <w:sz w:val="22"/>
          <w:szCs w:val="22"/>
        </w:rPr>
      </w:pPr>
      <w:r w:rsidRPr="00145A0F">
        <w:rPr>
          <w:rFonts w:ascii="Arial" w:hAnsi="Arial" w:cs="Arial"/>
          <w:sz w:val="20"/>
        </w:rPr>
        <w:t xml:space="preserve">In the past several years, Joon Liang has been increasingly involved in engineering related incidents in construction projects. Amongst the more notable matters he was involved in were the highly publicised failure of a hill slope in Penang, and a bridge collapse in the </w:t>
      </w:r>
      <w:proofErr w:type="spellStart"/>
      <w:r w:rsidRPr="00145A0F">
        <w:rPr>
          <w:rFonts w:ascii="Arial" w:hAnsi="Arial" w:cs="Arial"/>
          <w:sz w:val="20"/>
        </w:rPr>
        <w:t>Klang</w:t>
      </w:r>
      <w:proofErr w:type="spellEnd"/>
      <w:r w:rsidRPr="00145A0F">
        <w:rPr>
          <w:rFonts w:ascii="Arial" w:hAnsi="Arial" w:cs="Arial"/>
          <w:sz w:val="20"/>
        </w:rPr>
        <w:t xml:space="preserve"> Valley. He has acted in some of the leading cases in construction adjudication, including the first Construction Industry Payment &amp; Adjudication Act 2012 (CIPAA) matter heard at the Federal Court</w:t>
      </w:r>
      <w:r w:rsidRPr="00001D04">
        <w:rPr>
          <w:rFonts w:ascii="Arial" w:hAnsi="Arial" w:cs="Arial"/>
          <w:sz w:val="22"/>
          <w:szCs w:val="22"/>
        </w:rPr>
        <w:t>.</w:t>
      </w:r>
      <w:r>
        <w:rPr>
          <w:rFonts w:ascii="Arial" w:hAnsi="Arial" w:cs="Arial"/>
          <w:sz w:val="22"/>
          <w:szCs w:val="22"/>
        </w:rPr>
        <w:br w:type="column"/>
      </w:r>
      <w:bookmarkStart w:id="1" w:name="_Hlk43893291"/>
    </w:p>
    <w:p w14:paraId="0D4F18AC" w14:textId="66CD6169" w:rsidR="00C5174D" w:rsidRPr="00C5174D" w:rsidRDefault="00C5174D" w:rsidP="00C5174D">
      <w:pPr>
        <w:spacing w:after="0"/>
        <w:ind w:left="-180"/>
        <w:rPr>
          <w:rFonts w:ascii="Arial" w:hAnsi="Arial" w:cs="Arial"/>
          <w:b/>
          <w:bCs/>
          <w:sz w:val="22"/>
          <w:szCs w:val="22"/>
        </w:rPr>
      </w:pPr>
      <w:r w:rsidRPr="00C5174D">
        <w:rPr>
          <w:rFonts w:ascii="Arial" w:hAnsi="Arial" w:cs="Arial"/>
          <w:b/>
          <w:bCs/>
          <w:sz w:val="22"/>
          <w:szCs w:val="22"/>
        </w:rPr>
        <w:t>PRACTICE AREAS</w:t>
      </w:r>
    </w:p>
    <w:p w14:paraId="0B1894AB" w14:textId="569DD032" w:rsidR="00C5174D" w:rsidRPr="00555D39" w:rsidRDefault="00C5174D" w:rsidP="00555D39">
      <w:pPr>
        <w:pStyle w:val="ListParagraph"/>
        <w:numPr>
          <w:ilvl w:val="0"/>
          <w:numId w:val="4"/>
        </w:numPr>
        <w:spacing w:after="0"/>
        <w:ind w:left="180"/>
        <w:rPr>
          <w:rFonts w:ascii="Arial" w:hAnsi="Arial" w:cs="Arial"/>
          <w:sz w:val="22"/>
          <w:szCs w:val="22"/>
        </w:rPr>
      </w:pPr>
      <w:r w:rsidRPr="00555D39">
        <w:rPr>
          <w:rFonts w:ascii="Arial" w:hAnsi="Arial" w:cs="Arial"/>
          <w:sz w:val="22"/>
          <w:szCs w:val="22"/>
        </w:rPr>
        <w:t xml:space="preserve">Arbitration </w:t>
      </w:r>
    </w:p>
    <w:p w14:paraId="621A70AD" w14:textId="41FE41F2" w:rsidR="00412F5C" w:rsidRPr="00555D39" w:rsidRDefault="00412F5C" w:rsidP="00555D39">
      <w:pPr>
        <w:pStyle w:val="ListParagraph"/>
        <w:numPr>
          <w:ilvl w:val="0"/>
          <w:numId w:val="4"/>
        </w:numPr>
        <w:spacing w:after="0"/>
        <w:ind w:left="180"/>
        <w:rPr>
          <w:rFonts w:ascii="Arial" w:hAnsi="Arial" w:cs="Arial"/>
          <w:sz w:val="22"/>
          <w:szCs w:val="22"/>
        </w:rPr>
      </w:pPr>
      <w:r w:rsidRPr="00555D39">
        <w:rPr>
          <w:rFonts w:ascii="Arial" w:hAnsi="Arial" w:cs="Arial"/>
          <w:sz w:val="22"/>
          <w:szCs w:val="22"/>
        </w:rPr>
        <w:t>Adjudication</w:t>
      </w:r>
    </w:p>
    <w:p w14:paraId="701EF440" w14:textId="12CC6012" w:rsidR="00C5174D" w:rsidRPr="00555D39" w:rsidRDefault="00555D39" w:rsidP="00555D39">
      <w:pPr>
        <w:pStyle w:val="ListParagraph"/>
        <w:numPr>
          <w:ilvl w:val="0"/>
          <w:numId w:val="4"/>
        </w:numPr>
        <w:spacing w:after="0"/>
        <w:ind w:left="180"/>
        <w:rPr>
          <w:rFonts w:ascii="Arial" w:hAnsi="Arial" w:cs="Arial"/>
          <w:sz w:val="22"/>
          <w:szCs w:val="22"/>
        </w:rPr>
      </w:pPr>
      <w:r w:rsidRPr="00555D39">
        <w:rPr>
          <w:rFonts w:ascii="Arial" w:hAnsi="Arial" w:cs="Arial"/>
          <w:sz w:val="22"/>
          <w:szCs w:val="22"/>
        </w:rPr>
        <w:t>Constr</w:t>
      </w:r>
      <w:r w:rsidR="00C5174D" w:rsidRPr="00555D39">
        <w:rPr>
          <w:rFonts w:ascii="Arial" w:hAnsi="Arial" w:cs="Arial"/>
          <w:sz w:val="22"/>
          <w:szCs w:val="22"/>
        </w:rPr>
        <w:t xml:space="preserve">uction Litigation </w:t>
      </w:r>
    </w:p>
    <w:p w14:paraId="4B13E4D2" w14:textId="77777777" w:rsidR="00555D39" w:rsidRPr="00555D39" w:rsidRDefault="00555D39" w:rsidP="00555D39">
      <w:pPr>
        <w:pStyle w:val="ListParagraph"/>
        <w:numPr>
          <w:ilvl w:val="0"/>
          <w:numId w:val="4"/>
        </w:numPr>
        <w:spacing w:after="0"/>
        <w:ind w:left="180"/>
        <w:rPr>
          <w:rFonts w:ascii="Arial" w:hAnsi="Arial" w:cs="Arial"/>
          <w:sz w:val="22"/>
          <w:szCs w:val="22"/>
        </w:rPr>
      </w:pPr>
      <w:r w:rsidRPr="00555D39">
        <w:rPr>
          <w:rFonts w:ascii="Arial" w:hAnsi="Arial" w:cs="Arial"/>
          <w:sz w:val="22"/>
          <w:szCs w:val="22"/>
        </w:rPr>
        <w:t>Dispute Resolution</w:t>
      </w:r>
    </w:p>
    <w:p w14:paraId="68258131" w14:textId="77777777" w:rsidR="00555D39" w:rsidRDefault="00555D39" w:rsidP="00C5174D">
      <w:pPr>
        <w:spacing w:after="0"/>
        <w:ind w:left="-180"/>
        <w:rPr>
          <w:rFonts w:ascii="Arial" w:hAnsi="Arial" w:cs="Arial"/>
          <w:sz w:val="22"/>
          <w:szCs w:val="22"/>
        </w:rPr>
      </w:pPr>
    </w:p>
    <w:p w14:paraId="354E070B" w14:textId="6B27C00D" w:rsidR="00555D39" w:rsidRPr="00555D39" w:rsidRDefault="00555D39" w:rsidP="00555D39">
      <w:pPr>
        <w:spacing w:after="0"/>
        <w:ind w:left="-180"/>
        <w:rPr>
          <w:rFonts w:ascii="Arial" w:hAnsi="Arial" w:cs="Arial"/>
          <w:b/>
          <w:bCs/>
          <w:sz w:val="22"/>
          <w:szCs w:val="22"/>
        </w:rPr>
      </w:pPr>
      <w:r w:rsidRPr="00555D39">
        <w:rPr>
          <w:rFonts w:ascii="Arial" w:hAnsi="Arial" w:cs="Arial"/>
          <w:b/>
          <w:bCs/>
          <w:sz w:val="22"/>
          <w:szCs w:val="22"/>
        </w:rPr>
        <w:t>ADMISSION</w:t>
      </w:r>
    </w:p>
    <w:p w14:paraId="518486AA" w14:textId="01DA24E6" w:rsidR="00555D39" w:rsidRPr="007A0269" w:rsidRDefault="00555D39" w:rsidP="00555D39">
      <w:pPr>
        <w:spacing w:after="0"/>
        <w:ind w:left="-180"/>
        <w:rPr>
          <w:rFonts w:ascii="Arial" w:hAnsi="Arial" w:cs="Arial"/>
          <w:sz w:val="20"/>
        </w:rPr>
      </w:pPr>
      <w:r w:rsidRPr="007A0269">
        <w:rPr>
          <w:rFonts w:ascii="Arial" w:hAnsi="Arial" w:cs="Arial"/>
          <w:sz w:val="20"/>
        </w:rPr>
        <w:t>Advocate and Solicitor of the High Court of Malaya</w:t>
      </w:r>
    </w:p>
    <w:p w14:paraId="52C8A1AA" w14:textId="77777777" w:rsidR="00555D39" w:rsidRPr="00555D39" w:rsidRDefault="00555D39" w:rsidP="00555D39">
      <w:pPr>
        <w:spacing w:after="0"/>
        <w:ind w:left="-180"/>
        <w:rPr>
          <w:rFonts w:ascii="Arial" w:hAnsi="Arial" w:cs="Arial"/>
          <w:b/>
          <w:bCs/>
          <w:sz w:val="22"/>
          <w:szCs w:val="22"/>
        </w:rPr>
      </w:pPr>
    </w:p>
    <w:p w14:paraId="75EECA00" w14:textId="77777777" w:rsidR="00555D39" w:rsidRPr="00555D39" w:rsidRDefault="00555D39" w:rsidP="00555D39">
      <w:pPr>
        <w:spacing w:after="0"/>
        <w:ind w:left="-180"/>
        <w:rPr>
          <w:rFonts w:ascii="Arial" w:hAnsi="Arial" w:cs="Arial"/>
          <w:b/>
          <w:bCs/>
          <w:sz w:val="22"/>
          <w:szCs w:val="22"/>
        </w:rPr>
      </w:pPr>
      <w:r w:rsidRPr="00555D39">
        <w:rPr>
          <w:rFonts w:ascii="Arial" w:hAnsi="Arial" w:cs="Arial"/>
          <w:b/>
          <w:bCs/>
          <w:sz w:val="22"/>
          <w:szCs w:val="22"/>
        </w:rPr>
        <w:t xml:space="preserve">MEMBERSHIPS </w:t>
      </w:r>
    </w:p>
    <w:p w14:paraId="64C85AA2" w14:textId="77777777" w:rsidR="00555D39" w:rsidRPr="007A0269" w:rsidRDefault="00555D39" w:rsidP="00555D39">
      <w:pPr>
        <w:pStyle w:val="ListParagraph"/>
        <w:numPr>
          <w:ilvl w:val="0"/>
          <w:numId w:val="1"/>
        </w:numPr>
        <w:spacing w:after="0"/>
        <w:ind w:left="270"/>
        <w:rPr>
          <w:rFonts w:ascii="Arial" w:hAnsi="Arial" w:cs="Arial"/>
          <w:sz w:val="20"/>
        </w:rPr>
      </w:pPr>
      <w:r w:rsidRPr="007A0269">
        <w:rPr>
          <w:rFonts w:ascii="Arial" w:hAnsi="Arial" w:cs="Arial"/>
          <w:sz w:val="20"/>
        </w:rPr>
        <w:t>Fellow, Chartered Institute of Arbitrators, United Kingdom</w:t>
      </w:r>
    </w:p>
    <w:p w14:paraId="7549E3C5" w14:textId="77777777" w:rsidR="00555D39" w:rsidRPr="007A0269" w:rsidRDefault="00555D39" w:rsidP="00555D39">
      <w:pPr>
        <w:pStyle w:val="ListParagraph"/>
        <w:numPr>
          <w:ilvl w:val="0"/>
          <w:numId w:val="1"/>
        </w:numPr>
        <w:spacing w:after="0"/>
        <w:ind w:left="270"/>
        <w:rPr>
          <w:rFonts w:ascii="Arial" w:hAnsi="Arial" w:cs="Arial"/>
          <w:sz w:val="20"/>
        </w:rPr>
      </w:pPr>
      <w:bookmarkStart w:id="2" w:name="_Hlk41407890"/>
      <w:r w:rsidRPr="007A0269">
        <w:rPr>
          <w:rFonts w:ascii="Arial" w:hAnsi="Arial" w:cs="Arial"/>
          <w:sz w:val="20"/>
        </w:rPr>
        <w:t>Arbitrator</w:t>
      </w:r>
      <w:r>
        <w:rPr>
          <w:rFonts w:ascii="Arial" w:hAnsi="Arial" w:cs="Arial"/>
          <w:sz w:val="20"/>
        </w:rPr>
        <w:t xml:space="preserve"> and Adjudicator,</w:t>
      </w:r>
      <w:r w:rsidRPr="007A0269">
        <w:rPr>
          <w:rFonts w:ascii="Arial" w:hAnsi="Arial" w:cs="Arial"/>
          <w:sz w:val="20"/>
        </w:rPr>
        <w:t xml:space="preserve"> </w:t>
      </w:r>
      <w:r w:rsidRPr="00C5174D">
        <w:rPr>
          <w:rFonts w:ascii="Arial" w:hAnsi="Arial" w:cs="Arial"/>
          <w:sz w:val="20"/>
        </w:rPr>
        <w:t>Asian International Arbitration Centre (AIAC)</w:t>
      </w:r>
    </w:p>
    <w:bookmarkEnd w:id="2"/>
    <w:p w14:paraId="2EB4047D" w14:textId="77777777" w:rsidR="00555D39" w:rsidRPr="00C5174D" w:rsidRDefault="00555D39" w:rsidP="00555D39">
      <w:pPr>
        <w:pStyle w:val="ListParagraph"/>
        <w:numPr>
          <w:ilvl w:val="0"/>
          <w:numId w:val="1"/>
        </w:numPr>
        <w:spacing w:after="0"/>
        <w:ind w:left="270"/>
        <w:rPr>
          <w:rFonts w:ascii="Arial" w:hAnsi="Arial" w:cs="Arial"/>
          <w:b/>
          <w:bCs/>
          <w:sz w:val="20"/>
        </w:rPr>
      </w:pPr>
      <w:r w:rsidRPr="00C5174D">
        <w:rPr>
          <w:rFonts w:ascii="Arial" w:hAnsi="Arial" w:cs="Arial"/>
          <w:sz w:val="20"/>
        </w:rPr>
        <w:t>Arbitrator, Hainan International Arbitration Court</w:t>
      </w:r>
    </w:p>
    <w:p w14:paraId="0B36F691" w14:textId="77777777" w:rsidR="00555D39" w:rsidRPr="00EC411B" w:rsidRDefault="00555D39" w:rsidP="00555D39">
      <w:pPr>
        <w:spacing w:after="0"/>
        <w:ind w:left="0"/>
        <w:rPr>
          <w:rFonts w:ascii="Arial" w:hAnsi="Arial" w:cs="Arial"/>
          <w:sz w:val="22"/>
          <w:szCs w:val="22"/>
        </w:rPr>
      </w:pPr>
    </w:p>
    <w:p w14:paraId="1DF52FCD" w14:textId="6BA270B4" w:rsidR="00555D39" w:rsidRDefault="00EC411B" w:rsidP="00555D39">
      <w:pPr>
        <w:spacing w:after="0"/>
        <w:ind w:left="-180"/>
        <w:rPr>
          <w:rFonts w:ascii="Arial" w:hAnsi="Arial" w:cs="Arial"/>
          <w:b/>
          <w:bCs/>
        </w:rPr>
      </w:pPr>
      <w:r>
        <w:rPr>
          <w:rFonts w:ascii="Arial" w:hAnsi="Arial" w:cs="Arial"/>
          <w:b/>
          <w:bCs/>
          <w:sz w:val="22"/>
          <w:szCs w:val="18"/>
        </w:rPr>
        <w:t>QUALIFICATION</w:t>
      </w:r>
      <w:r w:rsidR="00C3622D">
        <w:rPr>
          <w:rFonts w:ascii="Arial" w:hAnsi="Arial" w:cs="Arial"/>
          <w:b/>
          <w:bCs/>
          <w:sz w:val="22"/>
          <w:szCs w:val="18"/>
        </w:rPr>
        <w:t>S</w:t>
      </w:r>
    </w:p>
    <w:p w14:paraId="0D711268" w14:textId="7D64422A" w:rsidR="00555D39" w:rsidRDefault="00555D39" w:rsidP="00555D39">
      <w:pPr>
        <w:spacing w:after="0"/>
        <w:ind w:left="-180"/>
        <w:rPr>
          <w:rFonts w:ascii="Arial" w:hAnsi="Arial" w:cs="Arial"/>
          <w:sz w:val="20"/>
        </w:rPr>
      </w:pPr>
      <w:proofErr w:type="gramStart"/>
      <w:r w:rsidRPr="007A0269">
        <w:rPr>
          <w:rFonts w:ascii="Arial" w:hAnsi="Arial" w:cs="Arial"/>
          <w:sz w:val="20"/>
        </w:rPr>
        <w:t>LL.B</w:t>
      </w:r>
      <w:proofErr w:type="gramEnd"/>
      <w:r w:rsidRPr="007A0269">
        <w:rPr>
          <w:rFonts w:ascii="Arial" w:hAnsi="Arial" w:cs="Arial"/>
          <w:sz w:val="20"/>
        </w:rPr>
        <w:t xml:space="preserve"> (Hons), University of </w:t>
      </w:r>
      <w:r>
        <w:rPr>
          <w:rFonts w:ascii="Arial" w:hAnsi="Arial" w:cs="Arial"/>
          <w:sz w:val="20"/>
        </w:rPr>
        <w:t xml:space="preserve">Nottingham </w:t>
      </w:r>
    </w:p>
    <w:p w14:paraId="0A4B3009" w14:textId="47A06A0F" w:rsidR="00C3622D" w:rsidRDefault="00C3622D" w:rsidP="00555D39">
      <w:pPr>
        <w:spacing w:after="0"/>
        <w:ind w:left="-180"/>
        <w:rPr>
          <w:rFonts w:ascii="Arial" w:hAnsi="Arial" w:cs="Arial"/>
          <w:sz w:val="20"/>
        </w:rPr>
      </w:pPr>
      <w:bookmarkStart w:id="3" w:name="_Hlk43925120"/>
      <w:r>
        <w:rPr>
          <w:rFonts w:ascii="Arial" w:hAnsi="Arial" w:cs="Arial"/>
          <w:sz w:val="20"/>
        </w:rPr>
        <w:t>Certificate in Legal Practice</w:t>
      </w:r>
    </w:p>
    <w:bookmarkEnd w:id="3"/>
    <w:p w14:paraId="72413C38" w14:textId="3D2EC5E7" w:rsidR="00555D39" w:rsidRDefault="00555D39" w:rsidP="00C5174D">
      <w:pPr>
        <w:spacing w:after="0"/>
        <w:ind w:left="-180"/>
        <w:rPr>
          <w:rFonts w:ascii="Arial" w:hAnsi="Arial" w:cs="Arial"/>
          <w:sz w:val="22"/>
          <w:szCs w:val="22"/>
        </w:rPr>
      </w:pPr>
    </w:p>
    <w:p w14:paraId="15B30A1E" w14:textId="4C73D912" w:rsidR="00EC411B" w:rsidRDefault="00EC411B" w:rsidP="00EC411B">
      <w:pPr>
        <w:spacing w:after="0"/>
        <w:ind w:left="-180"/>
        <w:rPr>
          <w:rFonts w:ascii="Arial" w:hAnsi="Arial" w:cs="Arial"/>
          <w:b/>
          <w:bCs/>
        </w:rPr>
      </w:pPr>
      <w:r>
        <w:rPr>
          <w:rFonts w:ascii="Arial" w:hAnsi="Arial" w:cs="Arial"/>
          <w:b/>
          <w:bCs/>
          <w:sz w:val="22"/>
          <w:szCs w:val="18"/>
        </w:rPr>
        <w:t>LANGUAGE</w:t>
      </w:r>
      <w:r w:rsidR="00C3622D">
        <w:rPr>
          <w:rFonts w:ascii="Arial" w:hAnsi="Arial" w:cs="Arial"/>
          <w:b/>
          <w:bCs/>
          <w:sz w:val="22"/>
          <w:szCs w:val="18"/>
        </w:rPr>
        <w:t>S</w:t>
      </w:r>
      <w:r>
        <w:rPr>
          <w:rFonts w:ascii="Arial" w:hAnsi="Arial" w:cs="Arial"/>
          <w:b/>
          <w:bCs/>
          <w:sz w:val="22"/>
          <w:szCs w:val="18"/>
        </w:rPr>
        <w:t xml:space="preserve"> </w:t>
      </w:r>
    </w:p>
    <w:p w14:paraId="67CCF70E" w14:textId="4DAC6E16" w:rsidR="00EC411B" w:rsidRDefault="00EC411B" w:rsidP="00C5174D">
      <w:pPr>
        <w:spacing w:after="0"/>
        <w:ind w:left="-180"/>
        <w:rPr>
          <w:rFonts w:ascii="Arial" w:hAnsi="Arial" w:cs="Arial"/>
          <w:sz w:val="22"/>
          <w:szCs w:val="22"/>
        </w:rPr>
      </w:pPr>
      <w:r w:rsidRPr="007A0269">
        <w:rPr>
          <w:rFonts w:ascii="Arial" w:hAnsi="Arial" w:cs="Arial"/>
          <w:sz w:val="20"/>
        </w:rPr>
        <w:t xml:space="preserve">English, Malay </w:t>
      </w:r>
    </w:p>
    <w:bookmarkEnd w:id="1"/>
    <w:p w14:paraId="467748EB" w14:textId="3CB4311D" w:rsidR="00EC411B" w:rsidRDefault="00EC411B" w:rsidP="00C5174D">
      <w:pPr>
        <w:spacing w:after="0"/>
        <w:ind w:left="-180"/>
        <w:rPr>
          <w:rFonts w:ascii="Arial" w:hAnsi="Arial" w:cs="Arial"/>
          <w:sz w:val="22"/>
          <w:szCs w:val="22"/>
        </w:rPr>
        <w:sectPr w:rsidR="00EC411B" w:rsidSect="00555D39">
          <w:type w:val="continuous"/>
          <w:pgSz w:w="11906" w:h="16838"/>
          <w:pgMar w:top="1440" w:right="1440" w:bottom="1440" w:left="1440" w:header="720" w:footer="720" w:gutter="0"/>
          <w:cols w:num="2" w:space="720" w:equalWidth="0">
            <w:col w:w="5780" w:space="708"/>
            <w:col w:w="2536"/>
          </w:cols>
          <w:docGrid w:linePitch="360"/>
        </w:sectPr>
      </w:pPr>
    </w:p>
    <w:p w14:paraId="4475108A" w14:textId="17FC02E6" w:rsidR="00C5174D" w:rsidRDefault="00C5174D" w:rsidP="00C5174D">
      <w:pPr>
        <w:spacing w:after="0"/>
        <w:ind w:left="-180"/>
        <w:rPr>
          <w:rFonts w:ascii="Arial" w:hAnsi="Arial" w:cs="Arial"/>
          <w:sz w:val="22"/>
          <w:szCs w:val="22"/>
        </w:rPr>
      </w:pPr>
    </w:p>
    <w:p w14:paraId="5D557718" w14:textId="77777777" w:rsidR="00555D39" w:rsidRDefault="00555D39" w:rsidP="00C5174D">
      <w:pPr>
        <w:spacing w:after="0"/>
        <w:ind w:left="-180"/>
        <w:rPr>
          <w:rFonts w:ascii="Arial" w:hAnsi="Arial" w:cs="Arial"/>
          <w:sz w:val="22"/>
          <w:szCs w:val="22"/>
        </w:rPr>
        <w:sectPr w:rsidR="00555D39" w:rsidSect="00555D39">
          <w:type w:val="continuous"/>
          <w:pgSz w:w="11906" w:h="16838"/>
          <w:pgMar w:top="1440" w:right="1440" w:bottom="1440" w:left="1440" w:header="720" w:footer="720" w:gutter="0"/>
          <w:cols w:space="720"/>
          <w:docGrid w:linePitch="360"/>
        </w:sectPr>
      </w:pPr>
    </w:p>
    <w:p w14:paraId="3A07F956" w14:textId="7347A927" w:rsidR="00C5174D" w:rsidRDefault="00C5174D" w:rsidP="00555D39">
      <w:pPr>
        <w:pBdr>
          <w:top w:val="single" w:sz="4" w:space="1" w:color="auto"/>
        </w:pBdr>
        <w:spacing w:after="0"/>
        <w:ind w:left="-180"/>
        <w:rPr>
          <w:rFonts w:ascii="Arial" w:hAnsi="Arial" w:cs="Arial"/>
          <w:sz w:val="22"/>
          <w:szCs w:val="22"/>
        </w:rPr>
      </w:pPr>
    </w:p>
    <w:p w14:paraId="3A8E6AFD" w14:textId="77777777" w:rsidR="00555D39" w:rsidRDefault="00555D39" w:rsidP="00555D39">
      <w:pPr>
        <w:spacing w:after="0"/>
        <w:ind w:left="-180"/>
        <w:rPr>
          <w:rFonts w:ascii="Arial" w:hAnsi="Arial" w:cs="Arial"/>
          <w:b/>
          <w:bCs/>
          <w:szCs w:val="24"/>
        </w:rPr>
      </w:pPr>
      <w:bookmarkStart w:id="4" w:name="_Hlk43893409"/>
      <w:r>
        <w:rPr>
          <w:rFonts w:ascii="Arial" w:hAnsi="Arial" w:cs="Arial"/>
          <w:b/>
          <w:bCs/>
          <w:szCs w:val="24"/>
        </w:rPr>
        <w:t>RELEVANT EXPERIENCE</w:t>
      </w:r>
    </w:p>
    <w:p w14:paraId="04AB4B13" w14:textId="77777777" w:rsidR="00555D39" w:rsidRDefault="00555D39" w:rsidP="00555D39">
      <w:pPr>
        <w:spacing w:after="0"/>
        <w:ind w:left="-180"/>
        <w:rPr>
          <w:rFonts w:ascii="Arial" w:hAnsi="Arial" w:cs="Arial"/>
          <w:sz w:val="20"/>
        </w:rPr>
      </w:pPr>
    </w:p>
    <w:p w14:paraId="3A6BBF3E" w14:textId="076E4560" w:rsidR="00555D39" w:rsidRDefault="00555D39" w:rsidP="00555D39">
      <w:pPr>
        <w:spacing w:after="0"/>
        <w:ind w:left="-180"/>
        <w:rPr>
          <w:rFonts w:ascii="Arial" w:hAnsi="Arial" w:cs="Arial"/>
          <w:sz w:val="20"/>
        </w:rPr>
      </w:pPr>
      <w:r>
        <w:rPr>
          <w:rFonts w:ascii="Arial" w:hAnsi="Arial" w:cs="Arial"/>
          <w:sz w:val="20"/>
        </w:rPr>
        <w:t>Some significant matters which Joon Liang ha</w:t>
      </w:r>
      <w:r w:rsidR="00C3622D">
        <w:rPr>
          <w:rFonts w:ascii="Arial" w:hAnsi="Arial" w:cs="Arial"/>
          <w:sz w:val="20"/>
        </w:rPr>
        <w:t>s</w:t>
      </w:r>
      <w:r>
        <w:rPr>
          <w:rFonts w:ascii="Arial" w:hAnsi="Arial" w:cs="Arial"/>
          <w:sz w:val="20"/>
        </w:rPr>
        <w:t xml:space="preserve"> involved in:</w:t>
      </w:r>
    </w:p>
    <w:bookmarkEnd w:id="4"/>
    <w:p w14:paraId="1F311F67" w14:textId="77777777" w:rsidR="00555D39" w:rsidRDefault="00555D39" w:rsidP="00555D39">
      <w:pPr>
        <w:spacing w:after="0"/>
        <w:ind w:left="-180"/>
        <w:rPr>
          <w:rFonts w:ascii="Arial" w:hAnsi="Arial" w:cs="Arial"/>
          <w:sz w:val="22"/>
          <w:szCs w:val="22"/>
        </w:rPr>
      </w:pPr>
    </w:p>
    <w:p w14:paraId="3E33B078" w14:textId="77777777" w:rsidR="00145A0F" w:rsidRPr="00145A0F" w:rsidRDefault="00145A0F" w:rsidP="00145A0F">
      <w:pPr>
        <w:spacing w:after="0"/>
        <w:ind w:left="-180"/>
        <w:rPr>
          <w:rFonts w:ascii="Arial" w:hAnsi="Arial" w:cs="Arial"/>
          <w:sz w:val="20"/>
          <w:u w:val="single"/>
          <w:lang w:val="en-MY"/>
        </w:rPr>
      </w:pPr>
      <w:r w:rsidRPr="00145A0F">
        <w:rPr>
          <w:rFonts w:ascii="Arial" w:hAnsi="Arial" w:cs="Arial"/>
          <w:sz w:val="20"/>
          <w:u w:val="single"/>
          <w:lang w:val="en-MY"/>
        </w:rPr>
        <w:t>Arbitration</w:t>
      </w:r>
    </w:p>
    <w:p w14:paraId="5C9D6A11" w14:textId="564CCFB4" w:rsidR="00145A0F" w:rsidRPr="00145A0F" w:rsidRDefault="00145A0F" w:rsidP="00145A0F">
      <w:pPr>
        <w:pStyle w:val="ListParagraph"/>
        <w:numPr>
          <w:ilvl w:val="0"/>
          <w:numId w:val="6"/>
        </w:numPr>
        <w:spacing w:after="0"/>
        <w:rPr>
          <w:rFonts w:ascii="Arial" w:hAnsi="Arial" w:cs="Arial"/>
          <w:sz w:val="20"/>
          <w:lang w:val="en-MY"/>
        </w:rPr>
      </w:pPr>
      <w:r w:rsidRPr="00145A0F">
        <w:rPr>
          <w:rFonts w:ascii="Arial" w:hAnsi="Arial" w:cs="Arial"/>
          <w:sz w:val="20"/>
          <w:lang w:val="en-MY"/>
        </w:rPr>
        <w:t xml:space="preserve">Acting for the main contractor against the subcontractor in arbitration for, inter alia, damages in the region of RM240 million in view of the latter’s breach in carrying out its works resulting in the exercising of step-in right by the former </w:t>
      </w:r>
    </w:p>
    <w:p w14:paraId="72C26BDC" w14:textId="77777777" w:rsidR="00145A0F" w:rsidRDefault="00145A0F" w:rsidP="00145A0F">
      <w:pPr>
        <w:spacing w:after="0"/>
        <w:ind w:left="-180"/>
        <w:rPr>
          <w:rFonts w:ascii="Arial" w:hAnsi="Arial" w:cs="Arial"/>
          <w:sz w:val="20"/>
          <w:lang w:val="en-MY"/>
        </w:rPr>
      </w:pPr>
    </w:p>
    <w:p w14:paraId="56911AB9" w14:textId="5BC90A93" w:rsidR="00145A0F" w:rsidRPr="00145A0F" w:rsidRDefault="00145A0F" w:rsidP="00145A0F">
      <w:pPr>
        <w:pStyle w:val="ListParagraph"/>
        <w:numPr>
          <w:ilvl w:val="0"/>
          <w:numId w:val="6"/>
        </w:numPr>
        <w:spacing w:after="0"/>
        <w:rPr>
          <w:rFonts w:ascii="Arial" w:hAnsi="Arial" w:cs="Arial"/>
          <w:sz w:val="20"/>
          <w:lang w:val="en-MY"/>
        </w:rPr>
      </w:pPr>
      <w:r w:rsidRPr="00145A0F">
        <w:rPr>
          <w:rFonts w:ascii="Arial" w:hAnsi="Arial" w:cs="Arial"/>
          <w:sz w:val="20"/>
          <w:lang w:val="en-MY"/>
        </w:rPr>
        <w:t>Acted as an arbitrator in an action on a consolidated development of a construction project for a claim of approximate RM10 million and a counterclaim of about RM38 million</w:t>
      </w:r>
    </w:p>
    <w:p w14:paraId="4B4CD154" w14:textId="77777777" w:rsidR="00145A0F" w:rsidRPr="00145A0F" w:rsidRDefault="00145A0F" w:rsidP="00145A0F">
      <w:pPr>
        <w:spacing w:after="0"/>
        <w:ind w:left="-180"/>
        <w:rPr>
          <w:rFonts w:ascii="Arial" w:hAnsi="Arial" w:cs="Arial"/>
          <w:sz w:val="20"/>
          <w:lang w:val="en-MY"/>
        </w:rPr>
      </w:pPr>
    </w:p>
    <w:p w14:paraId="5D07588F" w14:textId="6A7849D1" w:rsidR="00145A0F" w:rsidRPr="00145A0F" w:rsidRDefault="00145A0F" w:rsidP="00145A0F">
      <w:pPr>
        <w:pStyle w:val="ListParagraph"/>
        <w:numPr>
          <w:ilvl w:val="0"/>
          <w:numId w:val="6"/>
        </w:numPr>
        <w:spacing w:after="0"/>
        <w:rPr>
          <w:rFonts w:ascii="Arial" w:hAnsi="Arial" w:cs="Arial"/>
          <w:sz w:val="20"/>
          <w:lang w:val="en-MY"/>
        </w:rPr>
      </w:pPr>
      <w:r w:rsidRPr="00145A0F">
        <w:rPr>
          <w:rFonts w:ascii="Arial" w:hAnsi="Arial" w:cs="Arial"/>
          <w:sz w:val="20"/>
          <w:lang w:val="en-MY"/>
        </w:rPr>
        <w:t>Acted as a party representative for a claim concerning a Power Purchase Agreement in relation to a Power Plant in East Malaysia for a sum of approximate RM102 million and a counterclaim of RM180 million</w:t>
      </w:r>
    </w:p>
    <w:p w14:paraId="494BE621" w14:textId="77777777" w:rsidR="00145A0F" w:rsidRPr="00145A0F" w:rsidRDefault="00145A0F" w:rsidP="00145A0F">
      <w:pPr>
        <w:spacing w:after="0"/>
        <w:ind w:left="-180"/>
        <w:rPr>
          <w:rFonts w:ascii="Arial" w:hAnsi="Arial" w:cs="Arial"/>
          <w:sz w:val="20"/>
          <w:lang w:val="en-MY"/>
        </w:rPr>
      </w:pPr>
    </w:p>
    <w:p w14:paraId="7FC85C72" w14:textId="015038AA" w:rsidR="00145A0F" w:rsidRPr="00145A0F" w:rsidRDefault="00145A0F" w:rsidP="00145A0F">
      <w:pPr>
        <w:pStyle w:val="ListParagraph"/>
        <w:numPr>
          <w:ilvl w:val="0"/>
          <w:numId w:val="6"/>
        </w:numPr>
        <w:spacing w:after="0"/>
        <w:rPr>
          <w:rFonts w:ascii="Arial" w:hAnsi="Arial" w:cs="Arial"/>
          <w:sz w:val="20"/>
          <w:lang w:val="en-MY"/>
        </w:rPr>
      </w:pPr>
      <w:r w:rsidRPr="00145A0F">
        <w:rPr>
          <w:rFonts w:ascii="Arial" w:hAnsi="Arial" w:cs="Arial"/>
          <w:sz w:val="20"/>
          <w:lang w:val="en-MY"/>
        </w:rPr>
        <w:t>Acted as a party representative for a claim concerning a construction dispute between main contractor and employer for an integrated development in East Malaysia for a principal claim of approximate RM66 million and a principal counterclaim of RM44 million</w:t>
      </w:r>
    </w:p>
    <w:p w14:paraId="448F8729" w14:textId="77777777" w:rsidR="00145A0F" w:rsidRPr="00145A0F" w:rsidRDefault="00145A0F" w:rsidP="00145A0F">
      <w:pPr>
        <w:spacing w:after="0"/>
        <w:ind w:left="-180"/>
        <w:rPr>
          <w:rFonts w:ascii="Arial" w:hAnsi="Arial" w:cs="Arial"/>
          <w:sz w:val="20"/>
          <w:lang w:val="en-MY"/>
        </w:rPr>
      </w:pPr>
    </w:p>
    <w:p w14:paraId="51411293" w14:textId="03867F9A" w:rsidR="00145A0F" w:rsidRPr="00145A0F" w:rsidRDefault="00145A0F" w:rsidP="00145A0F">
      <w:pPr>
        <w:pStyle w:val="ListParagraph"/>
        <w:numPr>
          <w:ilvl w:val="0"/>
          <w:numId w:val="6"/>
        </w:numPr>
        <w:spacing w:after="0"/>
        <w:rPr>
          <w:rFonts w:ascii="Arial" w:hAnsi="Arial" w:cs="Arial"/>
          <w:sz w:val="20"/>
          <w:lang w:val="en-MY"/>
        </w:rPr>
      </w:pPr>
      <w:r w:rsidRPr="00145A0F">
        <w:rPr>
          <w:rFonts w:ascii="Arial" w:hAnsi="Arial" w:cs="Arial"/>
          <w:sz w:val="20"/>
          <w:lang w:val="en-MY"/>
        </w:rPr>
        <w:t>Acted as a party representative for a claim concerning a construction dispute between main contractor and consultant for the construction of a university campus involving a sum of approximate RM305 million</w:t>
      </w:r>
    </w:p>
    <w:p w14:paraId="647767EC" w14:textId="77777777" w:rsidR="00145A0F" w:rsidRPr="00145A0F" w:rsidRDefault="00145A0F" w:rsidP="00145A0F">
      <w:pPr>
        <w:spacing w:after="0"/>
        <w:ind w:left="-180"/>
        <w:rPr>
          <w:rFonts w:ascii="Arial" w:hAnsi="Arial" w:cs="Arial"/>
          <w:sz w:val="20"/>
          <w:lang w:val="en-MY"/>
        </w:rPr>
      </w:pPr>
    </w:p>
    <w:p w14:paraId="53DAAFC3" w14:textId="3856548F" w:rsidR="00145A0F" w:rsidRPr="00145A0F" w:rsidRDefault="00145A0F" w:rsidP="00145A0F">
      <w:pPr>
        <w:pStyle w:val="ListParagraph"/>
        <w:numPr>
          <w:ilvl w:val="0"/>
          <w:numId w:val="10"/>
        </w:numPr>
        <w:spacing w:after="0"/>
        <w:rPr>
          <w:rFonts w:ascii="Arial" w:hAnsi="Arial" w:cs="Arial"/>
          <w:sz w:val="20"/>
          <w:lang w:val="en-MY"/>
        </w:rPr>
      </w:pPr>
      <w:r w:rsidRPr="00145A0F">
        <w:rPr>
          <w:rFonts w:ascii="Arial" w:hAnsi="Arial" w:cs="Arial"/>
          <w:sz w:val="20"/>
          <w:lang w:val="en-MY"/>
        </w:rPr>
        <w:t xml:space="preserve">Acted in the Federal Court ‘s case on an important issue concerning limitation periods in arbitration </w:t>
      </w:r>
      <w:r>
        <w:rPr>
          <w:rFonts w:ascii="Arial" w:hAnsi="Arial" w:cs="Arial"/>
          <w:sz w:val="20"/>
          <w:lang w:val="en-MY"/>
        </w:rPr>
        <w:t>reported as</w:t>
      </w:r>
      <w:r w:rsidRPr="00145A0F">
        <w:rPr>
          <w:rFonts w:ascii="Arial" w:hAnsi="Arial" w:cs="Arial"/>
          <w:sz w:val="20"/>
          <w:lang w:val="en-MY"/>
        </w:rPr>
        <w:t xml:space="preserve"> </w:t>
      </w:r>
      <w:r w:rsidRPr="00145A0F">
        <w:rPr>
          <w:rFonts w:ascii="Arial" w:hAnsi="Arial" w:cs="Arial"/>
          <w:b/>
          <w:bCs/>
          <w:sz w:val="20"/>
          <w:lang w:val="en-MY"/>
        </w:rPr>
        <w:t xml:space="preserve">Christopher Martin Boyd v. Deb </w:t>
      </w:r>
      <w:proofErr w:type="spellStart"/>
      <w:r w:rsidRPr="00145A0F">
        <w:rPr>
          <w:rFonts w:ascii="Arial" w:hAnsi="Arial" w:cs="Arial"/>
          <w:b/>
          <w:bCs/>
          <w:sz w:val="20"/>
          <w:lang w:val="en-MY"/>
        </w:rPr>
        <w:t>Brata</w:t>
      </w:r>
      <w:proofErr w:type="spellEnd"/>
      <w:r w:rsidRPr="00145A0F">
        <w:rPr>
          <w:rFonts w:ascii="Arial" w:hAnsi="Arial" w:cs="Arial"/>
          <w:b/>
          <w:bCs/>
          <w:sz w:val="20"/>
          <w:lang w:val="en-MY"/>
        </w:rPr>
        <w:t xml:space="preserve"> Das Gupta </w:t>
      </w:r>
      <w:r w:rsidRPr="00145A0F">
        <w:rPr>
          <w:rFonts w:ascii="Arial" w:hAnsi="Arial" w:cs="Arial"/>
          <w:sz w:val="20"/>
          <w:lang w:val="en-MY"/>
        </w:rPr>
        <w:t>[2014] 9 CLJ 887</w:t>
      </w:r>
    </w:p>
    <w:p w14:paraId="487273B5" w14:textId="77777777" w:rsidR="00145A0F" w:rsidRPr="00145A0F" w:rsidRDefault="00145A0F" w:rsidP="00145A0F">
      <w:pPr>
        <w:spacing w:after="0"/>
        <w:ind w:left="-180"/>
        <w:rPr>
          <w:rFonts w:ascii="Arial" w:hAnsi="Arial" w:cs="Arial"/>
          <w:sz w:val="20"/>
          <w:lang w:val="en-MY"/>
        </w:rPr>
      </w:pPr>
    </w:p>
    <w:p w14:paraId="69CDCC94" w14:textId="77777777" w:rsidR="00145A0F" w:rsidRPr="00145A0F" w:rsidRDefault="00145A0F" w:rsidP="00145A0F">
      <w:pPr>
        <w:spacing w:after="0"/>
        <w:ind w:left="-180"/>
        <w:rPr>
          <w:rFonts w:ascii="Arial" w:hAnsi="Arial" w:cs="Arial"/>
          <w:sz w:val="20"/>
          <w:u w:val="single"/>
          <w:lang w:val="en-MY"/>
        </w:rPr>
      </w:pPr>
      <w:r w:rsidRPr="00145A0F">
        <w:rPr>
          <w:rFonts w:ascii="Arial" w:hAnsi="Arial" w:cs="Arial"/>
          <w:sz w:val="20"/>
          <w:u w:val="single"/>
          <w:lang w:val="en-MY"/>
        </w:rPr>
        <w:t>Adjudication</w:t>
      </w:r>
    </w:p>
    <w:p w14:paraId="64FB2AB9" w14:textId="7826532F" w:rsidR="00145A0F" w:rsidRPr="00145A0F" w:rsidRDefault="00145A0F" w:rsidP="00145A0F">
      <w:pPr>
        <w:pStyle w:val="ListParagraph"/>
        <w:numPr>
          <w:ilvl w:val="0"/>
          <w:numId w:val="8"/>
        </w:numPr>
        <w:spacing w:after="0"/>
        <w:rPr>
          <w:rFonts w:ascii="Arial" w:hAnsi="Arial" w:cs="Arial"/>
          <w:sz w:val="20"/>
          <w:lang w:val="en-MY"/>
        </w:rPr>
      </w:pPr>
      <w:r w:rsidRPr="00145A0F">
        <w:rPr>
          <w:rFonts w:ascii="Arial" w:hAnsi="Arial" w:cs="Arial"/>
          <w:sz w:val="20"/>
          <w:lang w:val="en-MY"/>
        </w:rPr>
        <w:t>Acting for a subcontractor in a construction claim in the oil and gas sector against the main contractor for a claim of about RM40 million</w:t>
      </w:r>
    </w:p>
    <w:p w14:paraId="12A2DF04" w14:textId="77777777" w:rsidR="00145A0F" w:rsidRPr="00145A0F" w:rsidRDefault="00145A0F" w:rsidP="00145A0F">
      <w:pPr>
        <w:spacing w:after="0"/>
        <w:ind w:left="-180"/>
        <w:rPr>
          <w:rFonts w:ascii="Arial" w:hAnsi="Arial" w:cs="Arial"/>
          <w:sz w:val="20"/>
          <w:lang w:val="en-MY"/>
        </w:rPr>
      </w:pPr>
    </w:p>
    <w:p w14:paraId="0D524DD6" w14:textId="4DFD47EB" w:rsidR="00145A0F" w:rsidRPr="00145A0F" w:rsidRDefault="00145A0F" w:rsidP="00145A0F">
      <w:pPr>
        <w:pStyle w:val="ListParagraph"/>
        <w:numPr>
          <w:ilvl w:val="0"/>
          <w:numId w:val="8"/>
        </w:numPr>
        <w:spacing w:after="0"/>
        <w:rPr>
          <w:rFonts w:ascii="Arial" w:hAnsi="Arial" w:cs="Arial"/>
          <w:b/>
          <w:bCs/>
          <w:sz w:val="20"/>
          <w:lang w:val="en-MY"/>
        </w:rPr>
      </w:pPr>
      <w:r w:rsidRPr="00145A0F">
        <w:rPr>
          <w:rFonts w:ascii="Arial" w:hAnsi="Arial" w:cs="Arial"/>
          <w:sz w:val="20"/>
          <w:lang w:val="en-MY"/>
        </w:rPr>
        <w:t xml:space="preserve">Acted for the Asian International Arbitration Centre (AIAC) including in the first constitutional challenge on statutory adjudication </w:t>
      </w:r>
      <w:r>
        <w:rPr>
          <w:rFonts w:ascii="Arial" w:hAnsi="Arial" w:cs="Arial"/>
          <w:sz w:val="20"/>
          <w:lang w:val="en-MY"/>
        </w:rPr>
        <w:t xml:space="preserve">reported as </w:t>
      </w:r>
      <w:r w:rsidRPr="00145A0F">
        <w:rPr>
          <w:rFonts w:ascii="Arial" w:hAnsi="Arial" w:cs="Arial"/>
          <w:b/>
          <w:bCs/>
          <w:sz w:val="20"/>
          <w:lang w:val="en-MY"/>
        </w:rPr>
        <w:t xml:space="preserve">Mega </w:t>
      </w:r>
      <w:proofErr w:type="spellStart"/>
      <w:r w:rsidRPr="00145A0F">
        <w:rPr>
          <w:rFonts w:ascii="Arial" w:hAnsi="Arial" w:cs="Arial"/>
          <w:b/>
          <w:bCs/>
          <w:sz w:val="20"/>
          <w:lang w:val="en-MY"/>
        </w:rPr>
        <w:t>Sasa</w:t>
      </w:r>
      <w:proofErr w:type="spellEnd"/>
      <w:r w:rsidRPr="00145A0F">
        <w:rPr>
          <w:rFonts w:ascii="Arial" w:hAnsi="Arial" w:cs="Arial"/>
          <w:b/>
          <w:bCs/>
          <w:sz w:val="20"/>
          <w:lang w:val="en-MY"/>
        </w:rPr>
        <w:t xml:space="preserve"> </w:t>
      </w:r>
      <w:proofErr w:type="spellStart"/>
      <w:r w:rsidRPr="00145A0F">
        <w:rPr>
          <w:rFonts w:ascii="Arial" w:hAnsi="Arial" w:cs="Arial"/>
          <w:b/>
          <w:bCs/>
          <w:sz w:val="20"/>
          <w:lang w:val="en-MY"/>
        </w:rPr>
        <w:t>Sdn</w:t>
      </w:r>
      <w:proofErr w:type="spellEnd"/>
      <w:r w:rsidRPr="00145A0F">
        <w:rPr>
          <w:rFonts w:ascii="Arial" w:hAnsi="Arial" w:cs="Arial"/>
          <w:b/>
          <w:bCs/>
          <w:sz w:val="20"/>
          <w:lang w:val="en-MY"/>
        </w:rPr>
        <w:t xml:space="preserve"> </w:t>
      </w:r>
      <w:proofErr w:type="spellStart"/>
      <w:r w:rsidRPr="00145A0F">
        <w:rPr>
          <w:rFonts w:ascii="Arial" w:hAnsi="Arial" w:cs="Arial"/>
          <w:b/>
          <w:bCs/>
          <w:sz w:val="20"/>
          <w:lang w:val="en-MY"/>
        </w:rPr>
        <w:t>Bhd</w:t>
      </w:r>
      <w:proofErr w:type="spellEnd"/>
      <w:r w:rsidRPr="00145A0F">
        <w:rPr>
          <w:rFonts w:ascii="Arial" w:hAnsi="Arial" w:cs="Arial"/>
          <w:b/>
          <w:bCs/>
          <w:sz w:val="20"/>
          <w:lang w:val="en-MY"/>
        </w:rPr>
        <w:t xml:space="preserve"> v Kinta </w:t>
      </w:r>
      <w:proofErr w:type="spellStart"/>
      <w:r w:rsidRPr="00145A0F">
        <w:rPr>
          <w:rFonts w:ascii="Arial" w:hAnsi="Arial" w:cs="Arial"/>
          <w:b/>
          <w:bCs/>
          <w:sz w:val="20"/>
          <w:lang w:val="en-MY"/>
        </w:rPr>
        <w:t>Bakti</w:t>
      </w:r>
      <w:proofErr w:type="spellEnd"/>
      <w:r w:rsidRPr="00145A0F">
        <w:rPr>
          <w:rFonts w:ascii="Arial" w:hAnsi="Arial" w:cs="Arial"/>
          <w:b/>
          <w:bCs/>
          <w:sz w:val="20"/>
          <w:lang w:val="en-MY"/>
        </w:rPr>
        <w:t xml:space="preserve"> </w:t>
      </w:r>
      <w:proofErr w:type="spellStart"/>
      <w:r w:rsidRPr="00145A0F">
        <w:rPr>
          <w:rFonts w:ascii="Arial" w:hAnsi="Arial" w:cs="Arial"/>
          <w:b/>
          <w:bCs/>
          <w:sz w:val="20"/>
          <w:lang w:val="en-MY"/>
        </w:rPr>
        <w:t>Sdn</w:t>
      </w:r>
      <w:proofErr w:type="spellEnd"/>
      <w:r w:rsidRPr="00145A0F">
        <w:rPr>
          <w:rFonts w:ascii="Arial" w:hAnsi="Arial" w:cs="Arial"/>
          <w:b/>
          <w:bCs/>
          <w:sz w:val="20"/>
          <w:lang w:val="en-MY"/>
        </w:rPr>
        <w:t xml:space="preserve"> </w:t>
      </w:r>
      <w:proofErr w:type="spellStart"/>
      <w:r w:rsidRPr="00145A0F">
        <w:rPr>
          <w:rFonts w:ascii="Arial" w:hAnsi="Arial" w:cs="Arial"/>
          <w:b/>
          <w:bCs/>
          <w:sz w:val="20"/>
          <w:lang w:val="en-MY"/>
        </w:rPr>
        <w:t>Bhd</w:t>
      </w:r>
      <w:proofErr w:type="spellEnd"/>
      <w:r w:rsidRPr="00145A0F">
        <w:rPr>
          <w:rFonts w:ascii="Arial" w:hAnsi="Arial" w:cs="Arial"/>
          <w:b/>
          <w:bCs/>
          <w:sz w:val="20"/>
          <w:lang w:val="en-MY"/>
        </w:rPr>
        <w:t xml:space="preserve"> &amp; </w:t>
      </w:r>
      <w:proofErr w:type="spellStart"/>
      <w:r w:rsidRPr="00145A0F">
        <w:rPr>
          <w:rFonts w:ascii="Arial" w:hAnsi="Arial" w:cs="Arial"/>
          <w:b/>
          <w:bCs/>
          <w:sz w:val="20"/>
          <w:lang w:val="en-MY"/>
        </w:rPr>
        <w:t>Ors</w:t>
      </w:r>
      <w:proofErr w:type="spellEnd"/>
      <w:r w:rsidRPr="00145A0F">
        <w:rPr>
          <w:rFonts w:ascii="Arial" w:hAnsi="Arial" w:cs="Arial"/>
          <w:b/>
          <w:bCs/>
          <w:sz w:val="20"/>
          <w:lang w:val="en-MY"/>
        </w:rPr>
        <w:t xml:space="preserve"> [2020] 4 CLJ 201</w:t>
      </w:r>
    </w:p>
    <w:p w14:paraId="2980B2C1" w14:textId="77777777" w:rsidR="00145A0F" w:rsidRPr="00145A0F" w:rsidRDefault="00145A0F" w:rsidP="00145A0F">
      <w:pPr>
        <w:spacing w:after="0"/>
        <w:ind w:left="-180"/>
        <w:rPr>
          <w:rFonts w:ascii="Arial" w:hAnsi="Arial" w:cs="Arial"/>
          <w:sz w:val="20"/>
          <w:lang w:val="en-MY"/>
        </w:rPr>
      </w:pPr>
    </w:p>
    <w:p w14:paraId="49566FCD" w14:textId="26983229" w:rsidR="00145A0F" w:rsidRPr="00145A0F" w:rsidRDefault="00145A0F" w:rsidP="00145A0F">
      <w:pPr>
        <w:pStyle w:val="ListParagraph"/>
        <w:numPr>
          <w:ilvl w:val="0"/>
          <w:numId w:val="8"/>
        </w:numPr>
        <w:spacing w:after="0"/>
        <w:rPr>
          <w:rFonts w:ascii="Arial" w:hAnsi="Arial" w:cs="Arial"/>
          <w:sz w:val="20"/>
          <w:lang w:val="en-MY"/>
        </w:rPr>
      </w:pPr>
      <w:r w:rsidRPr="00145A0F">
        <w:rPr>
          <w:rFonts w:ascii="Arial" w:hAnsi="Arial" w:cs="Arial"/>
          <w:sz w:val="20"/>
          <w:lang w:val="en-MY"/>
        </w:rPr>
        <w:t xml:space="preserve">Acted in the first adjudication under the Construction Industry Payment and Adjudication Act 2012 (“CIPAA 2012”) decided in the Federal Court reported as </w:t>
      </w:r>
      <w:r w:rsidRPr="00145A0F">
        <w:rPr>
          <w:rFonts w:ascii="Arial" w:hAnsi="Arial" w:cs="Arial"/>
          <w:b/>
          <w:bCs/>
          <w:sz w:val="20"/>
          <w:lang w:val="en-MY"/>
        </w:rPr>
        <w:t xml:space="preserve">View Esteem </w:t>
      </w:r>
      <w:proofErr w:type="spellStart"/>
      <w:r w:rsidRPr="00145A0F">
        <w:rPr>
          <w:rFonts w:ascii="Arial" w:hAnsi="Arial" w:cs="Arial"/>
          <w:b/>
          <w:bCs/>
          <w:sz w:val="20"/>
          <w:lang w:val="en-MY"/>
        </w:rPr>
        <w:t>Sdn</w:t>
      </w:r>
      <w:proofErr w:type="spellEnd"/>
      <w:r w:rsidRPr="00145A0F">
        <w:rPr>
          <w:rFonts w:ascii="Arial" w:hAnsi="Arial" w:cs="Arial"/>
          <w:b/>
          <w:bCs/>
          <w:sz w:val="20"/>
          <w:lang w:val="en-MY"/>
        </w:rPr>
        <w:t xml:space="preserve"> </w:t>
      </w:r>
      <w:proofErr w:type="spellStart"/>
      <w:r w:rsidRPr="00145A0F">
        <w:rPr>
          <w:rFonts w:ascii="Arial" w:hAnsi="Arial" w:cs="Arial"/>
          <w:b/>
          <w:bCs/>
          <w:sz w:val="20"/>
          <w:lang w:val="en-MY"/>
        </w:rPr>
        <w:t>Bhd</w:t>
      </w:r>
      <w:proofErr w:type="spellEnd"/>
      <w:r w:rsidRPr="00145A0F">
        <w:rPr>
          <w:rFonts w:ascii="Arial" w:hAnsi="Arial" w:cs="Arial"/>
          <w:b/>
          <w:bCs/>
          <w:sz w:val="20"/>
          <w:lang w:val="en-MY"/>
        </w:rPr>
        <w:t xml:space="preserve"> v Bina </w:t>
      </w:r>
      <w:proofErr w:type="spellStart"/>
      <w:r w:rsidRPr="00145A0F">
        <w:rPr>
          <w:rFonts w:ascii="Arial" w:hAnsi="Arial" w:cs="Arial"/>
          <w:b/>
          <w:bCs/>
          <w:sz w:val="20"/>
          <w:lang w:val="en-MY"/>
        </w:rPr>
        <w:t>Puri</w:t>
      </w:r>
      <w:proofErr w:type="spellEnd"/>
      <w:r w:rsidRPr="00145A0F">
        <w:rPr>
          <w:rFonts w:ascii="Arial" w:hAnsi="Arial" w:cs="Arial"/>
          <w:b/>
          <w:bCs/>
          <w:sz w:val="20"/>
          <w:lang w:val="en-MY"/>
        </w:rPr>
        <w:t xml:space="preserve"> Holdings </w:t>
      </w:r>
      <w:proofErr w:type="spellStart"/>
      <w:r w:rsidRPr="00145A0F">
        <w:rPr>
          <w:rFonts w:ascii="Arial" w:hAnsi="Arial" w:cs="Arial"/>
          <w:b/>
          <w:bCs/>
          <w:sz w:val="20"/>
          <w:lang w:val="en-MY"/>
        </w:rPr>
        <w:t>Bhd</w:t>
      </w:r>
      <w:proofErr w:type="spellEnd"/>
      <w:r w:rsidRPr="00145A0F">
        <w:rPr>
          <w:rFonts w:ascii="Arial" w:hAnsi="Arial" w:cs="Arial"/>
          <w:sz w:val="20"/>
          <w:lang w:val="en-MY"/>
        </w:rPr>
        <w:t xml:space="preserve"> [2019] 5 CLJ 479</w:t>
      </w:r>
    </w:p>
    <w:p w14:paraId="140BF593" w14:textId="77777777" w:rsidR="00145A0F" w:rsidRPr="00145A0F" w:rsidRDefault="00145A0F" w:rsidP="00145A0F">
      <w:pPr>
        <w:spacing w:after="0"/>
        <w:ind w:left="-180"/>
        <w:rPr>
          <w:rFonts w:ascii="Arial" w:hAnsi="Arial" w:cs="Arial"/>
          <w:sz w:val="20"/>
          <w:lang w:val="en-MY"/>
        </w:rPr>
      </w:pPr>
    </w:p>
    <w:p w14:paraId="05B64324" w14:textId="346C4E29" w:rsidR="00145A0F" w:rsidRPr="00145A0F" w:rsidRDefault="00145A0F" w:rsidP="00145A0F">
      <w:pPr>
        <w:pStyle w:val="ListParagraph"/>
        <w:numPr>
          <w:ilvl w:val="0"/>
          <w:numId w:val="8"/>
        </w:numPr>
        <w:spacing w:after="0"/>
        <w:rPr>
          <w:rFonts w:ascii="Arial" w:hAnsi="Arial" w:cs="Arial"/>
          <w:sz w:val="20"/>
          <w:lang w:val="en-MY"/>
        </w:rPr>
      </w:pPr>
      <w:r w:rsidRPr="00145A0F">
        <w:rPr>
          <w:rFonts w:ascii="Arial" w:hAnsi="Arial" w:cs="Arial"/>
          <w:sz w:val="20"/>
          <w:lang w:val="en-MY"/>
        </w:rPr>
        <w:t xml:space="preserve">Acting for the subcontractor in an action for direct payment from the developer for a sum of approximate RM9 million in the Court of Appeal reported as </w:t>
      </w:r>
      <w:r w:rsidRPr="00145A0F">
        <w:rPr>
          <w:rFonts w:ascii="Arial" w:hAnsi="Arial" w:cs="Arial"/>
          <w:b/>
          <w:bCs/>
          <w:sz w:val="20"/>
          <w:lang w:val="en-MY"/>
        </w:rPr>
        <w:t xml:space="preserve">CT Indah Construction </w:t>
      </w:r>
      <w:proofErr w:type="spellStart"/>
      <w:r w:rsidRPr="00145A0F">
        <w:rPr>
          <w:rFonts w:ascii="Arial" w:hAnsi="Arial" w:cs="Arial"/>
          <w:b/>
          <w:bCs/>
          <w:sz w:val="20"/>
          <w:lang w:val="en-MY"/>
        </w:rPr>
        <w:t>Sdn</w:t>
      </w:r>
      <w:proofErr w:type="spellEnd"/>
      <w:r w:rsidRPr="00145A0F">
        <w:rPr>
          <w:rFonts w:ascii="Arial" w:hAnsi="Arial" w:cs="Arial"/>
          <w:b/>
          <w:bCs/>
          <w:sz w:val="20"/>
          <w:lang w:val="en-MY"/>
        </w:rPr>
        <w:t xml:space="preserve"> </w:t>
      </w:r>
      <w:proofErr w:type="spellStart"/>
      <w:r w:rsidRPr="00145A0F">
        <w:rPr>
          <w:rFonts w:ascii="Arial" w:hAnsi="Arial" w:cs="Arial"/>
          <w:b/>
          <w:bCs/>
          <w:sz w:val="20"/>
          <w:lang w:val="en-MY"/>
        </w:rPr>
        <w:t>Bhd</w:t>
      </w:r>
      <w:proofErr w:type="spellEnd"/>
      <w:r w:rsidRPr="00145A0F">
        <w:rPr>
          <w:rFonts w:ascii="Arial" w:hAnsi="Arial" w:cs="Arial"/>
          <w:b/>
          <w:bCs/>
          <w:sz w:val="20"/>
          <w:lang w:val="en-MY"/>
        </w:rPr>
        <w:t xml:space="preserve"> v BHL </w:t>
      </w:r>
      <w:proofErr w:type="spellStart"/>
      <w:r w:rsidRPr="00145A0F">
        <w:rPr>
          <w:rFonts w:ascii="Arial" w:hAnsi="Arial" w:cs="Arial"/>
          <w:b/>
          <w:bCs/>
          <w:sz w:val="20"/>
          <w:lang w:val="en-MY"/>
        </w:rPr>
        <w:t>Gemilang</w:t>
      </w:r>
      <w:proofErr w:type="spellEnd"/>
      <w:r w:rsidRPr="00145A0F">
        <w:rPr>
          <w:rFonts w:ascii="Arial" w:hAnsi="Arial" w:cs="Arial"/>
          <w:b/>
          <w:bCs/>
          <w:sz w:val="20"/>
          <w:lang w:val="en-MY"/>
        </w:rPr>
        <w:t xml:space="preserve"> </w:t>
      </w:r>
      <w:proofErr w:type="spellStart"/>
      <w:r w:rsidRPr="00145A0F">
        <w:rPr>
          <w:rFonts w:ascii="Arial" w:hAnsi="Arial" w:cs="Arial"/>
          <w:b/>
          <w:bCs/>
          <w:sz w:val="20"/>
          <w:lang w:val="en-MY"/>
        </w:rPr>
        <w:t>Sdn</w:t>
      </w:r>
      <w:proofErr w:type="spellEnd"/>
      <w:r w:rsidRPr="00145A0F">
        <w:rPr>
          <w:rFonts w:ascii="Arial" w:hAnsi="Arial" w:cs="Arial"/>
          <w:b/>
          <w:bCs/>
          <w:sz w:val="20"/>
          <w:lang w:val="en-MY"/>
        </w:rPr>
        <w:t xml:space="preserve"> </w:t>
      </w:r>
      <w:proofErr w:type="spellStart"/>
      <w:r w:rsidRPr="00145A0F">
        <w:rPr>
          <w:rFonts w:ascii="Arial" w:hAnsi="Arial" w:cs="Arial"/>
          <w:b/>
          <w:bCs/>
          <w:sz w:val="20"/>
          <w:lang w:val="en-MY"/>
        </w:rPr>
        <w:t>Bhd</w:t>
      </w:r>
      <w:proofErr w:type="spellEnd"/>
      <w:r w:rsidRPr="00145A0F">
        <w:rPr>
          <w:rFonts w:ascii="Arial" w:hAnsi="Arial" w:cs="Arial"/>
          <w:sz w:val="20"/>
          <w:lang w:val="en-MY"/>
        </w:rPr>
        <w:t xml:space="preserve"> [2020] 1 CLJ 75</w:t>
      </w:r>
    </w:p>
    <w:p w14:paraId="362D5F85" w14:textId="77777777" w:rsidR="00145A0F" w:rsidRPr="00145A0F" w:rsidRDefault="00145A0F" w:rsidP="00145A0F">
      <w:pPr>
        <w:pStyle w:val="ListParagraph"/>
        <w:spacing w:after="0"/>
        <w:ind w:left="540"/>
        <w:rPr>
          <w:rFonts w:ascii="Arial" w:hAnsi="Arial" w:cs="Arial"/>
          <w:sz w:val="20"/>
          <w:lang w:val="en-MY"/>
        </w:rPr>
      </w:pPr>
    </w:p>
    <w:p w14:paraId="7BD76AF5" w14:textId="1856F427" w:rsidR="00145A0F" w:rsidRPr="00145A0F" w:rsidRDefault="00145A0F" w:rsidP="00145A0F">
      <w:pPr>
        <w:pStyle w:val="ListParagraph"/>
        <w:numPr>
          <w:ilvl w:val="0"/>
          <w:numId w:val="8"/>
        </w:numPr>
        <w:spacing w:after="0"/>
        <w:rPr>
          <w:rFonts w:ascii="Arial" w:hAnsi="Arial" w:cs="Arial"/>
          <w:sz w:val="20"/>
          <w:lang w:val="en-MY"/>
        </w:rPr>
      </w:pPr>
      <w:r w:rsidRPr="00145A0F">
        <w:rPr>
          <w:rFonts w:ascii="Arial" w:hAnsi="Arial" w:cs="Arial"/>
          <w:sz w:val="20"/>
          <w:lang w:val="en-MY"/>
        </w:rPr>
        <w:t xml:space="preserve">Defended the main contractor in a claim brought by an M&amp;E contractor under CIPAA 2012 for a sum exceeding RM37 million </w:t>
      </w:r>
    </w:p>
    <w:p w14:paraId="122F322B" w14:textId="77777777" w:rsidR="00145A0F" w:rsidRPr="00145A0F" w:rsidRDefault="00145A0F" w:rsidP="00145A0F">
      <w:pPr>
        <w:spacing w:after="0"/>
        <w:ind w:left="-180"/>
        <w:rPr>
          <w:rFonts w:ascii="Arial" w:hAnsi="Arial" w:cs="Arial"/>
          <w:sz w:val="20"/>
          <w:lang w:val="en-MY"/>
        </w:rPr>
      </w:pPr>
    </w:p>
    <w:p w14:paraId="37A44428" w14:textId="77777777" w:rsidR="00145A0F" w:rsidRPr="00145A0F" w:rsidRDefault="00145A0F" w:rsidP="00145A0F">
      <w:pPr>
        <w:spacing w:after="0"/>
        <w:ind w:left="-180"/>
        <w:rPr>
          <w:rFonts w:ascii="Arial" w:hAnsi="Arial" w:cs="Arial"/>
          <w:sz w:val="20"/>
          <w:u w:val="single"/>
          <w:lang w:val="en-MY"/>
        </w:rPr>
      </w:pPr>
      <w:r w:rsidRPr="00145A0F">
        <w:rPr>
          <w:rFonts w:ascii="Arial" w:hAnsi="Arial" w:cs="Arial"/>
          <w:sz w:val="20"/>
          <w:u w:val="single"/>
          <w:lang w:val="en-MY"/>
        </w:rPr>
        <w:t xml:space="preserve">Construction Litigation </w:t>
      </w:r>
    </w:p>
    <w:p w14:paraId="70BAB877" w14:textId="342BDD53" w:rsidR="00145A0F" w:rsidRPr="00145A0F" w:rsidRDefault="00145A0F" w:rsidP="00145A0F">
      <w:pPr>
        <w:pStyle w:val="ListParagraph"/>
        <w:numPr>
          <w:ilvl w:val="0"/>
          <w:numId w:val="10"/>
        </w:numPr>
        <w:spacing w:after="0"/>
        <w:rPr>
          <w:rFonts w:ascii="Arial" w:hAnsi="Arial" w:cs="Arial"/>
          <w:sz w:val="20"/>
          <w:lang w:val="en-MY"/>
        </w:rPr>
      </w:pPr>
      <w:r w:rsidRPr="00145A0F">
        <w:rPr>
          <w:rFonts w:ascii="Arial" w:hAnsi="Arial" w:cs="Arial"/>
          <w:sz w:val="20"/>
          <w:lang w:val="en-MY"/>
        </w:rPr>
        <w:t xml:space="preserve">Acting for the subcontractor against the main contractor for sums due and owing in adjudication and in court including an action against the developer for direct payment </w:t>
      </w:r>
    </w:p>
    <w:p w14:paraId="4643917C" w14:textId="77777777" w:rsidR="00145A0F" w:rsidRPr="00145A0F" w:rsidRDefault="00145A0F" w:rsidP="00145A0F">
      <w:pPr>
        <w:spacing w:after="0"/>
        <w:ind w:left="-180"/>
        <w:rPr>
          <w:rFonts w:ascii="Arial" w:hAnsi="Arial" w:cs="Arial"/>
          <w:sz w:val="20"/>
          <w:lang w:val="en-MY"/>
        </w:rPr>
      </w:pPr>
    </w:p>
    <w:p w14:paraId="29311D63" w14:textId="0E9E2929" w:rsidR="00145A0F" w:rsidRPr="00145A0F" w:rsidRDefault="00145A0F" w:rsidP="00145A0F">
      <w:pPr>
        <w:pStyle w:val="ListParagraph"/>
        <w:numPr>
          <w:ilvl w:val="0"/>
          <w:numId w:val="10"/>
        </w:numPr>
        <w:spacing w:after="0"/>
        <w:rPr>
          <w:rFonts w:ascii="Arial" w:hAnsi="Arial" w:cs="Arial"/>
          <w:sz w:val="20"/>
          <w:lang w:val="en-MY"/>
        </w:rPr>
      </w:pPr>
      <w:r w:rsidRPr="00145A0F">
        <w:rPr>
          <w:rFonts w:ascii="Arial" w:hAnsi="Arial" w:cs="Arial"/>
          <w:sz w:val="20"/>
          <w:lang w:val="en-MY"/>
        </w:rPr>
        <w:t xml:space="preserve">Acted as </w:t>
      </w:r>
      <w:r>
        <w:rPr>
          <w:rFonts w:ascii="Arial" w:hAnsi="Arial" w:cs="Arial"/>
          <w:sz w:val="20"/>
          <w:lang w:val="en-MY"/>
        </w:rPr>
        <w:t>for</w:t>
      </w:r>
      <w:r w:rsidRPr="00145A0F">
        <w:rPr>
          <w:rFonts w:ascii="Arial" w:hAnsi="Arial" w:cs="Arial"/>
          <w:sz w:val="20"/>
          <w:lang w:val="en-MY"/>
        </w:rPr>
        <w:t xml:space="preserve"> </w:t>
      </w:r>
      <w:r>
        <w:rPr>
          <w:rFonts w:ascii="Arial" w:hAnsi="Arial" w:cs="Arial"/>
          <w:sz w:val="20"/>
          <w:lang w:val="en-MY"/>
        </w:rPr>
        <w:t xml:space="preserve">a </w:t>
      </w:r>
      <w:r w:rsidRPr="00145A0F">
        <w:rPr>
          <w:rFonts w:ascii="Arial" w:hAnsi="Arial" w:cs="Arial"/>
          <w:sz w:val="20"/>
          <w:lang w:val="en-MY"/>
        </w:rPr>
        <w:t>leading property developer in Malaysia and successfully struck out a suit relating to a land dispute worth around RM359 million.</w:t>
      </w:r>
    </w:p>
    <w:p w14:paraId="63FB6316" w14:textId="77777777" w:rsidR="00145A0F" w:rsidRPr="00145A0F" w:rsidRDefault="00145A0F" w:rsidP="00145A0F">
      <w:pPr>
        <w:spacing w:after="0"/>
        <w:ind w:left="-180"/>
        <w:rPr>
          <w:rFonts w:ascii="Arial" w:hAnsi="Arial" w:cs="Arial"/>
          <w:sz w:val="20"/>
          <w:lang w:val="en-MY"/>
        </w:rPr>
      </w:pPr>
    </w:p>
    <w:p w14:paraId="3E153B67" w14:textId="1F2A4BDE" w:rsidR="00145A0F" w:rsidRPr="00145A0F" w:rsidRDefault="00145A0F" w:rsidP="00145A0F">
      <w:pPr>
        <w:pStyle w:val="ListParagraph"/>
        <w:numPr>
          <w:ilvl w:val="0"/>
          <w:numId w:val="10"/>
        </w:numPr>
        <w:spacing w:after="0"/>
        <w:rPr>
          <w:rFonts w:ascii="Arial" w:hAnsi="Arial" w:cs="Arial"/>
          <w:sz w:val="20"/>
          <w:lang w:val="en-MY"/>
        </w:rPr>
      </w:pPr>
      <w:r w:rsidRPr="00145A0F">
        <w:rPr>
          <w:rFonts w:ascii="Arial" w:hAnsi="Arial" w:cs="Arial"/>
          <w:sz w:val="20"/>
          <w:lang w:val="en-MY"/>
        </w:rPr>
        <w:t xml:space="preserve">Acted for the main contractor in respect of disputes involving the acquisition of land and the development of the Port </w:t>
      </w:r>
      <w:proofErr w:type="spellStart"/>
      <w:r w:rsidRPr="00145A0F">
        <w:rPr>
          <w:rFonts w:ascii="Arial" w:hAnsi="Arial" w:cs="Arial"/>
          <w:sz w:val="20"/>
          <w:lang w:val="en-MY"/>
        </w:rPr>
        <w:t>Klang</w:t>
      </w:r>
      <w:proofErr w:type="spellEnd"/>
      <w:r w:rsidRPr="00145A0F">
        <w:rPr>
          <w:rFonts w:ascii="Arial" w:hAnsi="Arial" w:cs="Arial"/>
          <w:sz w:val="20"/>
          <w:lang w:val="en-MY"/>
        </w:rPr>
        <w:t xml:space="preserve"> Free Zone</w:t>
      </w:r>
    </w:p>
    <w:p w14:paraId="0C4C067E" w14:textId="77777777" w:rsidR="00145A0F" w:rsidRPr="00145A0F" w:rsidRDefault="00145A0F" w:rsidP="00145A0F">
      <w:pPr>
        <w:spacing w:after="0"/>
        <w:ind w:left="-180"/>
        <w:rPr>
          <w:rFonts w:ascii="Arial" w:hAnsi="Arial" w:cs="Arial"/>
          <w:sz w:val="20"/>
          <w:lang w:val="en-MY"/>
        </w:rPr>
      </w:pPr>
    </w:p>
    <w:p w14:paraId="5BA1CA24" w14:textId="792629E4" w:rsidR="00145A0F" w:rsidRPr="00145A0F" w:rsidRDefault="00145A0F" w:rsidP="00145A0F">
      <w:pPr>
        <w:pStyle w:val="ListParagraph"/>
        <w:numPr>
          <w:ilvl w:val="0"/>
          <w:numId w:val="10"/>
        </w:numPr>
        <w:spacing w:after="0"/>
        <w:rPr>
          <w:rFonts w:ascii="Arial" w:hAnsi="Arial" w:cs="Arial"/>
          <w:sz w:val="20"/>
          <w:lang w:val="en-MY"/>
        </w:rPr>
      </w:pPr>
      <w:r w:rsidRPr="00145A0F">
        <w:rPr>
          <w:rFonts w:ascii="Arial" w:hAnsi="Arial" w:cs="Arial"/>
          <w:sz w:val="20"/>
          <w:lang w:val="en-MY"/>
        </w:rPr>
        <w:t>Acted for the specialist structural steel contractor in disputes in respect of the construction of the Putrajaya Mosque</w:t>
      </w:r>
    </w:p>
    <w:p w14:paraId="1E0CDE82" w14:textId="77777777" w:rsidR="00145A0F" w:rsidRPr="00145A0F" w:rsidRDefault="00145A0F" w:rsidP="00145A0F">
      <w:pPr>
        <w:spacing w:after="0"/>
        <w:ind w:left="-180"/>
        <w:rPr>
          <w:rFonts w:ascii="Arial" w:hAnsi="Arial" w:cs="Arial"/>
          <w:sz w:val="20"/>
          <w:lang w:val="en-MY"/>
        </w:rPr>
      </w:pPr>
    </w:p>
    <w:p w14:paraId="37042A24" w14:textId="1675BCAB" w:rsidR="00555D39" w:rsidRDefault="00145A0F" w:rsidP="00145A0F">
      <w:pPr>
        <w:pStyle w:val="ListParagraph"/>
        <w:numPr>
          <w:ilvl w:val="0"/>
          <w:numId w:val="10"/>
        </w:numPr>
        <w:spacing w:after="0"/>
        <w:rPr>
          <w:rFonts w:ascii="Arial" w:hAnsi="Arial" w:cs="Arial"/>
          <w:sz w:val="20"/>
          <w:lang w:val="en-MY"/>
        </w:rPr>
      </w:pPr>
      <w:r w:rsidRPr="00145A0F">
        <w:rPr>
          <w:rFonts w:ascii="Arial" w:hAnsi="Arial" w:cs="Arial"/>
          <w:sz w:val="20"/>
          <w:lang w:val="en-MY"/>
        </w:rPr>
        <w:t>Represented the consultant engineer in a state commission inquiry to inquire into the collapse of a temporary slope in an ongoing construction</w:t>
      </w:r>
    </w:p>
    <w:p w14:paraId="7D2B04E5" w14:textId="77777777" w:rsidR="00BC26F6" w:rsidRPr="00BC26F6" w:rsidRDefault="00BC26F6" w:rsidP="00BC26F6">
      <w:pPr>
        <w:pStyle w:val="ListParagraph"/>
        <w:rPr>
          <w:rFonts w:ascii="Arial" w:hAnsi="Arial" w:cs="Arial"/>
          <w:sz w:val="20"/>
          <w:lang w:val="en-MY"/>
        </w:rPr>
      </w:pPr>
    </w:p>
    <w:p w14:paraId="5AA1EA2F" w14:textId="77777777" w:rsidR="00BC26F6" w:rsidRPr="00145A0F" w:rsidRDefault="00BC26F6" w:rsidP="00BC26F6">
      <w:pPr>
        <w:spacing w:after="0"/>
        <w:ind w:left="-180"/>
        <w:rPr>
          <w:rFonts w:ascii="Arial" w:hAnsi="Arial" w:cs="Arial"/>
          <w:sz w:val="20"/>
          <w:u w:val="single"/>
          <w:lang w:val="en-MY"/>
        </w:rPr>
      </w:pPr>
      <w:r>
        <w:rPr>
          <w:rFonts w:ascii="Arial" w:hAnsi="Arial" w:cs="Arial"/>
          <w:sz w:val="20"/>
          <w:u w:val="single"/>
          <w:lang w:val="en-MY"/>
        </w:rPr>
        <w:t>Dispute Resolution</w:t>
      </w:r>
      <w:r w:rsidRPr="00145A0F">
        <w:rPr>
          <w:rFonts w:ascii="Arial" w:hAnsi="Arial" w:cs="Arial"/>
          <w:sz w:val="20"/>
          <w:u w:val="single"/>
          <w:lang w:val="en-MY"/>
        </w:rPr>
        <w:t xml:space="preserve"> </w:t>
      </w:r>
    </w:p>
    <w:p w14:paraId="10A1F767" w14:textId="77777777" w:rsidR="00BC26F6" w:rsidRDefault="00BC26F6" w:rsidP="00BC26F6">
      <w:pPr>
        <w:pStyle w:val="ListParagraph"/>
        <w:numPr>
          <w:ilvl w:val="0"/>
          <w:numId w:val="10"/>
        </w:numPr>
        <w:spacing w:after="0"/>
        <w:rPr>
          <w:rFonts w:ascii="Arial" w:hAnsi="Arial" w:cs="Arial"/>
          <w:sz w:val="20"/>
          <w:lang w:val="en-MY"/>
        </w:rPr>
      </w:pPr>
      <w:r>
        <w:rPr>
          <w:rFonts w:ascii="Arial" w:hAnsi="Arial" w:cs="Arial"/>
          <w:sz w:val="20"/>
          <w:lang w:val="en-MY"/>
        </w:rPr>
        <w:t xml:space="preserve">Acting or a developer company to claim for a sum of more than RM303 million against a railway company for losses suffered due to realignment of railway lines </w:t>
      </w:r>
    </w:p>
    <w:p w14:paraId="309CD43B" w14:textId="77777777" w:rsidR="00BC26F6" w:rsidRDefault="00BC26F6" w:rsidP="00BC26F6">
      <w:pPr>
        <w:pStyle w:val="ListParagraph"/>
        <w:spacing w:after="0"/>
        <w:ind w:left="540"/>
        <w:rPr>
          <w:rFonts w:ascii="Arial" w:hAnsi="Arial" w:cs="Arial"/>
          <w:sz w:val="20"/>
          <w:lang w:val="en-MY"/>
        </w:rPr>
      </w:pPr>
    </w:p>
    <w:p w14:paraId="0B869C8D" w14:textId="77777777" w:rsidR="00BC26F6" w:rsidRDefault="00BC26F6" w:rsidP="00BC26F6">
      <w:pPr>
        <w:pStyle w:val="ListParagraph"/>
        <w:numPr>
          <w:ilvl w:val="0"/>
          <w:numId w:val="10"/>
        </w:numPr>
        <w:spacing w:after="0"/>
        <w:rPr>
          <w:rFonts w:ascii="Arial" w:hAnsi="Arial" w:cs="Arial"/>
          <w:sz w:val="20"/>
          <w:lang w:val="en-MY"/>
        </w:rPr>
      </w:pPr>
      <w:r>
        <w:rPr>
          <w:rFonts w:ascii="Arial" w:hAnsi="Arial" w:cs="Arial"/>
          <w:sz w:val="20"/>
          <w:lang w:val="en-MY"/>
        </w:rPr>
        <w:t xml:space="preserve">Acted for a director to resist a claim </w:t>
      </w:r>
      <w:proofErr w:type="gramStart"/>
      <w:r>
        <w:rPr>
          <w:rFonts w:ascii="Arial" w:hAnsi="Arial" w:cs="Arial"/>
          <w:sz w:val="20"/>
          <w:lang w:val="en-MY"/>
        </w:rPr>
        <w:t>in excess of</w:t>
      </w:r>
      <w:proofErr w:type="gramEnd"/>
      <w:r>
        <w:rPr>
          <w:rFonts w:ascii="Arial" w:hAnsi="Arial" w:cs="Arial"/>
          <w:sz w:val="20"/>
          <w:lang w:val="en-MY"/>
        </w:rPr>
        <w:t xml:space="preserve"> RM640 million in a suit brought by the world leading glove manufacturer in a merger and acquisition dispute </w:t>
      </w:r>
    </w:p>
    <w:p w14:paraId="46307AC7" w14:textId="77777777" w:rsidR="00BC26F6" w:rsidRPr="00763D4E" w:rsidRDefault="00BC26F6" w:rsidP="00BC26F6">
      <w:pPr>
        <w:pStyle w:val="ListParagraph"/>
        <w:rPr>
          <w:rFonts w:ascii="Arial" w:hAnsi="Arial" w:cs="Arial"/>
          <w:sz w:val="20"/>
          <w:lang w:val="en-MY"/>
        </w:rPr>
      </w:pPr>
    </w:p>
    <w:p w14:paraId="4CE30EEA" w14:textId="77777777" w:rsidR="00BC26F6" w:rsidRDefault="00BC26F6" w:rsidP="00BC26F6">
      <w:pPr>
        <w:pStyle w:val="ListParagraph"/>
        <w:numPr>
          <w:ilvl w:val="0"/>
          <w:numId w:val="10"/>
        </w:numPr>
        <w:spacing w:after="0"/>
        <w:rPr>
          <w:rFonts w:ascii="Arial" w:hAnsi="Arial" w:cs="Arial"/>
          <w:sz w:val="20"/>
          <w:lang w:val="en-MY"/>
        </w:rPr>
      </w:pPr>
      <w:r>
        <w:rPr>
          <w:rFonts w:ascii="Arial" w:hAnsi="Arial" w:cs="Arial"/>
          <w:sz w:val="20"/>
          <w:lang w:val="en-MY"/>
        </w:rPr>
        <w:t xml:space="preserve">Acted for a communication technology company listed on the main board of Bursa Malaysia to </w:t>
      </w:r>
      <w:proofErr w:type="spellStart"/>
      <w:r>
        <w:rPr>
          <w:rFonts w:ascii="Arial" w:hAnsi="Arial" w:cs="Arial"/>
          <w:sz w:val="20"/>
          <w:lang w:val="en-MY"/>
        </w:rPr>
        <w:t>termininate</w:t>
      </w:r>
      <w:proofErr w:type="spellEnd"/>
      <w:r>
        <w:rPr>
          <w:rFonts w:ascii="Arial" w:hAnsi="Arial" w:cs="Arial"/>
          <w:sz w:val="20"/>
          <w:lang w:val="en-MY"/>
        </w:rPr>
        <w:t xml:space="preserve"> the winding up of its main subsidiary </w:t>
      </w:r>
    </w:p>
    <w:p w14:paraId="3DD3B09B" w14:textId="77777777" w:rsidR="00BC26F6" w:rsidRPr="00BC26F6" w:rsidRDefault="00BC26F6" w:rsidP="00BC26F6">
      <w:pPr>
        <w:spacing w:after="0"/>
        <w:ind w:left="0"/>
        <w:rPr>
          <w:rFonts w:ascii="Arial" w:hAnsi="Arial" w:cs="Arial"/>
          <w:sz w:val="20"/>
          <w:lang w:val="en-MY"/>
        </w:rPr>
      </w:pPr>
    </w:p>
    <w:p w14:paraId="0328D532" w14:textId="70118AE0" w:rsidR="00145A0F" w:rsidRDefault="00145A0F" w:rsidP="00145A0F">
      <w:pPr>
        <w:spacing w:after="0"/>
        <w:ind w:left="0"/>
        <w:rPr>
          <w:rFonts w:ascii="Arial" w:hAnsi="Arial" w:cs="Arial"/>
          <w:szCs w:val="24"/>
        </w:rPr>
      </w:pPr>
      <w:bookmarkStart w:id="5" w:name="_Hlk41410209"/>
      <w:bookmarkStart w:id="6" w:name="_Hlk41407942"/>
    </w:p>
    <w:p w14:paraId="6C09B3E0" w14:textId="751FE80F" w:rsidR="00C3622D" w:rsidRDefault="00C3622D" w:rsidP="00145A0F">
      <w:pPr>
        <w:spacing w:after="0"/>
        <w:ind w:left="0"/>
        <w:rPr>
          <w:rFonts w:ascii="Arial" w:hAnsi="Arial" w:cs="Arial"/>
          <w:szCs w:val="24"/>
        </w:rPr>
      </w:pPr>
    </w:p>
    <w:p w14:paraId="64168E3E" w14:textId="77777777" w:rsidR="00C3622D" w:rsidRPr="002B13C8" w:rsidRDefault="00C3622D" w:rsidP="00145A0F">
      <w:pPr>
        <w:spacing w:after="0"/>
        <w:ind w:left="0"/>
        <w:rPr>
          <w:rFonts w:ascii="Arial" w:hAnsi="Arial" w:cs="Arial"/>
          <w:szCs w:val="24"/>
        </w:rPr>
      </w:pPr>
    </w:p>
    <w:bookmarkEnd w:id="5"/>
    <w:p w14:paraId="508781DB" w14:textId="77777777" w:rsidR="00145A0F" w:rsidRDefault="00145A0F" w:rsidP="00145A0F">
      <w:pPr>
        <w:pBdr>
          <w:top w:val="single" w:sz="4" w:space="1" w:color="auto"/>
        </w:pBdr>
        <w:spacing w:after="0"/>
        <w:ind w:left="0"/>
        <w:rPr>
          <w:rFonts w:ascii="Arial" w:hAnsi="Arial" w:cs="Arial"/>
          <w:b/>
          <w:bCs/>
          <w:sz w:val="20"/>
        </w:rPr>
      </w:pPr>
    </w:p>
    <w:p w14:paraId="798D8C38" w14:textId="77777777" w:rsidR="00145A0F" w:rsidRPr="005E3EC3" w:rsidRDefault="00145A0F" w:rsidP="00145A0F">
      <w:pPr>
        <w:pBdr>
          <w:top w:val="single" w:sz="4" w:space="1" w:color="auto"/>
        </w:pBdr>
        <w:spacing w:after="0"/>
        <w:ind w:left="0"/>
        <w:rPr>
          <w:rFonts w:ascii="Arial" w:hAnsi="Arial" w:cs="Arial"/>
          <w:b/>
          <w:bCs/>
          <w:szCs w:val="24"/>
        </w:rPr>
      </w:pPr>
      <w:r w:rsidRPr="005E3EC3">
        <w:rPr>
          <w:rFonts w:ascii="Arial" w:hAnsi="Arial" w:cs="Arial"/>
          <w:b/>
          <w:bCs/>
          <w:szCs w:val="24"/>
        </w:rPr>
        <w:t>AWARDS &amp; ACCOLADES</w:t>
      </w:r>
    </w:p>
    <w:p w14:paraId="46493322" w14:textId="62682BC2" w:rsidR="00145A0F" w:rsidRDefault="00145A0F" w:rsidP="00145A0F">
      <w:pPr>
        <w:pBdr>
          <w:top w:val="single" w:sz="4" w:space="1" w:color="auto"/>
        </w:pBdr>
        <w:spacing w:after="0"/>
        <w:ind w:left="0"/>
        <w:rPr>
          <w:rFonts w:ascii="Arial" w:hAnsi="Arial" w:cs="Arial"/>
          <w:b/>
          <w:bCs/>
          <w:sz w:val="20"/>
        </w:rPr>
      </w:pPr>
    </w:p>
    <w:p w14:paraId="74DE5D55" w14:textId="12E6AEF7" w:rsidR="00C3622D" w:rsidRPr="00C3622D" w:rsidRDefault="00C3622D" w:rsidP="00C3622D">
      <w:pPr>
        <w:spacing w:after="0"/>
        <w:ind w:left="0"/>
        <w:rPr>
          <w:rFonts w:ascii="Arial" w:hAnsi="Arial" w:cs="Arial"/>
          <w:sz w:val="20"/>
          <w:lang w:val="en-US"/>
        </w:rPr>
      </w:pPr>
      <w:bookmarkStart w:id="7" w:name="_Hlk43925666"/>
      <w:bookmarkStart w:id="8" w:name="_Hlk43925208"/>
      <w:r w:rsidRPr="00C3622D">
        <w:rPr>
          <w:rFonts w:ascii="Arial" w:hAnsi="Arial" w:cs="Arial"/>
          <w:sz w:val="20"/>
          <w:lang w:val="en-US"/>
        </w:rPr>
        <w:t xml:space="preserve">Among others, Joon Liang has been recognized by independent rankers and client testimonials as, </w:t>
      </w:r>
      <w:r w:rsidRPr="00C3622D">
        <w:rPr>
          <w:rFonts w:ascii="Arial" w:hAnsi="Arial" w:cs="Arial"/>
          <w:i/>
          <w:iCs/>
          <w:sz w:val="20"/>
          <w:lang w:val="en-US"/>
        </w:rPr>
        <w:t>inter alia:</w:t>
      </w:r>
    </w:p>
    <w:bookmarkEnd w:id="7"/>
    <w:p w14:paraId="53CFB1F1" w14:textId="77777777" w:rsidR="00C3622D" w:rsidRDefault="00C3622D" w:rsidP="00C3622D">
      <w:pPr>
        <w:spacing w:after="0"/>
        <w:ind w:left="0"/>
        <w:rPr>
          <w:rFonts w:ascii="Arial" w:hAnsi="Arial" w:cs="Arial"/>
          <w:b/>
          <w:bCs/>
          <w:sz w:val="20"/>
        </w:rPr>
      </w:pPr>
    </w:p>
    <w:p w14:paraId="5D54729A" w14:textId="55C541CB" w:rsidR="00321D84" w:rsidRPr="00C3622D" w:rsidRDefault="00321D84" w:rsidP="00C3622D">
      <w:pPr>
        <w:pStyle w:val="ListParagraph"/>
        <w:numPr>
          <w:ilvl w:val="0"/>
          <w:numId w:val="5"/>
        </w:numPr>
        <w:spacing w:after="0"/>
        <w:ind w:left="270" w:hanging="180"/>
        <w:rPr>
          <w:rFonts w:ascii="Arial" w:hAnsi="Arial" w:cs="Arial"/>
          <w:sz w:val="20"/>
        </w:rPr>
      </w:pPr>
      <w:r w:rsidRPr="00321D84">
        <w:rPr>
          <w:rFonts w:ascii="Arial" w:hAnsi="Arial" w:cs="Arial"/>
          <w:i/>
          <w:iCs/>
          <w:sz w:val="20"/>
        </w:rPr>
        <w:t xml:space="preserve">“Foo Joon Liang has impressive experience in high-value construction disputes across litigation and arbitration proceedings” </w:t>
      </w:r>
    </w:p>
    <w:bookmarkEnd w:id="8"/>
    <w:p w14:paraId="0B79FEE9" w14:textId="77777777" w:rsidR="00C3622D" w:rsidRPr="00C3622D" w:rsidRDefault="00C3622D" w:rsidP="00C3622D">
      <w:pPr>
        <w:pStyle w:val="ListParagraph"/>
        <w:spacing w:after="0"/>
        <w:ind w:left="270"/>
        <w:rPr>
          <w:rFonts w:ascii="Arial" w:hAnsi="Arial" w:cs="Arial"/>
          <w:sz w:val="20"/>
        </w:rPr>
      </w:pPr>
    </w:p>
    <w:p w14:paraId="322D8ABB" w14:textId="77777777" w:rsidR="00412F5C" w:rsidRDefault="00412F5C" w:rsidP="006041A9">
      <w:pPr>
        <w:pBdr>
          <w:top w:val="single" w:sz="4" w:space="1" w:color="auto"/>
        </w:pBdr>
        <w:spacing w:after="0"/>
        <w:ind w:left="-180"/>
        <w:rPr>
          <w:rFonts w:ascii="Arial" w:hAnsi="Arial" w:cs="Arial"/>
          <w:sz w:val="22"/>
          <w:szCs w:val="22"/>
        </w:rPr>
      </w:pPr>
      <w:bookmarkStart w:id="9" w:name="_Hlk41407956"/>
      <w:bookmarkEnd w:id="6"/>
    </w:p>
    <w:p w14:paraId="57682209" w14:textId="047C2748" w:rsidR="00C5174D" w:rsidRPr="00145A0F" w:rsidRDefault="00C5174D" w:rsidP="00C3622D">
      <w:pPr>
        <w:spacing w:after="0"/>
        <w:ind w:left="0"/>
        <w:rPr>
          <w:rFonts w:ascii="Arial" w:hAnsi="Arial" w:cs="Arial"/>
          <w:b/>
          <w:bCs/>
          <w:szCs w:val="24"/>
        </w:rPr>
      </w:pPr>
      <w:r w:rsidRPr="00145A0F">
        <w:rPr>
          <w:rFonts w:ascii="Arial" w:hAnsi="Arial" w:cs="Arial"/>
          <w:b/>
          <w:bCs/>
          <w:szCs w:val="24"/>
        </w:rPr>
        <w:t>PUBLICATIONS</w:t>
      </w:r>
    </w:p>
    <w:p w14:paraId="757A8E42" w14:textId="77777777" w:rsidR="00C3622D" w:rsidRDefault="00C3622D" w:rsidP="00C3622D">
      <w:pPr>
        <w:ind w:left="0"/>
        <w:rPr>
          <w:rFonts w:ascii="Arial" w:hAnsi="Arial" w:cs="Arial"/>
          <w:sz w:val="22"/>
          <w:szCs w:val="22"/>
        </w:rPr>
      </w:pPr>
      <w:bookmarkStart w:id="10" w:name="_Hlk43924770"/>
    </w:p>
    <w:p w14:paraId="58E22DE2" w14:textId="7CE379A7" w:rsidR="00C3622D" w:rsidRPr="00C3622D" w:rsidRDefault="00C3622D" w:rsidP="00C3622D">
      <w:pPr>
        <w:ind w:left="0"/>
        <w:rPr>
          <w:rFonts w:ascii="Arial" w:hAnsi="Arial" w:cs="Arial"/>
          <w:sz w:val="20"/>
        </w:rPr>
      </w:pPr>
      <w:bookmarkStart w:id="11" w:name="_Hlk43925215"/>
      <w:r w:rsidRPr="00C3622D">
        <w:rPr>
          <w:rFonts w:ascii="Arial" w:hAnsi="Arial" w:cs="Arial"/>
          <w:sz w:val="20"/>
        </w:rPr>
        <w:t>Joon Liang has authored/ co-authored various publications including:</w:t>
      </w:r>
    </w:p>
    <w:bookmarkEnd w:id="10"/>
    <w:bookmarkEnd w:id="11"/>
    <w:p w14:paraId="7C512B71" w14:textId="72B4E9D5" w:rsidR="006041A9" w:rsidRPr="006041A9" w:rsidRDefault="006041A9" w:rsidP="006041A9">
      <w:pPr>
        <w:pStyle w:val="ListParagraph"/>
        <w:numPr>
          <w:ilvl w:val="0"/>
          <w:numId w:val="14"/>
        </w:numPr>
        <w:spacing w:after="0"/>
        <w:rPr>
          <w:rFonts w:ascii="Arial" w:hAnsi="Arial" w:cs="Arial"/>
          <w:sz w:val="20"/>
        </w:rPr>
      </w:pPr>
      <w:r w:rsidRPr="006041A9">
        <w:rPr>
          <w:rFonts w:ascii="Arial" w:hAnsi="Arial" w:cs="Arial"/>
          <w:sz w:val="20"/>
        </w:rPr>
        <w:t>Global Legal Insights, International Arbitration 2019 – Chapter on Malaysia</w:t>
      </w:r>
    </w:p>
    <w:p w14:paraId="01FCE58F" w14:textId="3683D271" w:rsidR="006041A9" w:rsidRPr="006041A9" w:rsidRDefault="006041A9" w:rsidP="006041A9">
      <w:pPr>
        <w:pStyle w:val="ListParagraph"/>
        <w:spacing w:after="0"/>
        <w:rPr>
          <w:rFonts w:ascii="Arial" w:hAnsi="Arial" w:cs="Arial"/>
          <w:sz w:val="20"/>
        </w:rPr>
      </w:pPr>
      <w:r w:rsidRPr="006041A9">
        <w:rPr>
          <w:rFonts w:ascii="Arial" w:hAnsi="Arial" w:cs="Arial"/>
          <w:sz w:val="20"/>
        </w:rPr>
        <w:t xml:space="preserve">(to create hyperlink: </w:t>
      </w:r>
      <w:hyperlink r:id="rId15" w:history="1">
        <w:r w:rsidRPr="006041A9">
          <w:rPr>
            <w:rStyle w:val="Hyperlink"/>
            <w:rFonts w:ascii="Arial" w:hAnsi="Arial" w:cs="Arial"/>
            <w:sz w:val="20"/>
          </w:rPr>
          <w:t>https://www.globallegalinsights.com/practice-areas/international-arbitration-laws-and-regulations/malaysia</w:t>
        </w:r>
      </w:hyperlink>
      <w:r w:rsidRPr="006041A9">
        <w:rPr>
          <w:rFonts w:ascii="Arial" w:hAnsi="Arial" w:cs="Arial"/>
          <w:sz w:val="20"/>
        </w:rPr>
        <w:t xml:space="preserve"> )</w:t>
      </w:r>
    </w:p>
    <w:p w14:paraId="7A2D0BC5" w14:textId="77777777" w:rsidR="006041A9" w:rsidRPr="006041A9" w:rsidRDefault="006041A9" w:rsidP="006041A9">
      <w:pPr>
        <w:pStyle w:val="ListParagraph"/>
        <w:spacing w:after="0"/>
        <w:rPr>
          <w:rFonts w:ascii="Arial" w:hAnsi="Arial" w:cs="Arial"/>
          <w:sz w:val="20"/>
        </w:rPr>
      </w:pPr>
    </w:p>
    <w:p w14:paraId="3F25A676" w14:textId="1F527542" w:rsidR="006041A9" w:rsidRPr="006041A9" w:rsidRDefault="006041A9" w:rsidP="006041A9">
      <w:pPr>
        <w:pStyle w:val="ListParagraph"/>
        <w:numPr>
          <w:ilvl w:val="0"/>
          <w:numId w:val="14"/>
        </w:numPr>
        <w:spacing w:after="0"/>
        <w:rPr>
          <w:rFonts w:ascii="Arial" w:hAnsi="Arial" w:cs="Arial"/>
          <w:sz w:val="22"/>
          <w:szCs w:val="22"/>
        </w:rPr>
      </w:pPr>
      <w:r w:rsidRPr="006041A9">
        <w:rPr>
          <w:rFonts w:ascii="Arial" w:hAnsi="Arial" w:cs="Arial"/>
          <w:sz w:val="20"/>
        </w:rPr>
        <w:t xml:space="preserve">Getting </w:t>
      </w:r>
      <w:proofErr w:type="gramStart"/>
      <w:r w:rsidRPr="006041A9">
        <w:rPr>
          <w:rFonts w:ascii="Arial" w:hAnsi="Arial" w:cs="Arial"/>
          <w:sz w:val="20"/>
        </w:rPr>
        <w:t>The</w:t>
      </w:r>
      <w:proofErr w:type="gramEnd"/>
      <w:r w:rsidRPr="006041A9">
        <w:rPr>
          <w:rFonts w:ascii="Arial" w:hAnsi="Arial" w:cs="Arial"/>
          <w:sz w:val="20"/>
        </w:rPr>
        <w:t xml:space="preserve"> Deal Through – Arbitration and Dispute Resolution</w:t>
      </w:r>
    </w:p>
    <w:p w14:paraId="3969195A" w14:textId="77777777" w:rsidR="006041A9" w:rsidRPr="006041A9" w:rsidRDefault="006041A9" w:rsidP="006041A9">
      <w:pPr>
        <w:pStyle w:val="ListParagraph"/>
        <w:spacing w:after="0"/>
        <w:rPr>
          <w:rFonts w:ascii="Arial" w:hAnsi="Arial" w:cs="Arial"/>
          <w:sz w:val="22"/>
          <w:szCs w:val="22"/>
        </w:rPr>
      </w:pPr>
    </w:p>
    <w:p w14:paraId="20F8B234" w14:textId="57414AD5" w:rsidR="006041A9" w:rsidRPr="00EC411B" w:rsidRDefault="006041A9" w:rsidP="006041A9">
      <w:pPr>
        <w:pStyle w:val="ListParagraph"/>
        <w:numPr>
          <w:ilvl w:val="0"/>
          <w:numId w:val="2"/>
        </w:numPr>
        <w:spacing w:after="0"/>
        <w:ind w:left="720"/>
        <w:rPr>
          <w:rFonts w:ascii="Arial" w:hAnsi="Arial" w:cs="Arial"/>
          <w:sz w:val="20"/>
          <w:highlight w:val="yellow"/>
        </w:rPr>
      </w:pPr>
      <w:r>
        <w:rPr>
          <w:rFonts w:ascii="Arial" w:hAnsi="Arial" w:cs="Arial"/>
          <w:sz w:val="20"/>
        </w:rPr>
        <w:t>Articles:</w:t>
      </w:r>
      <w:r w:rsidRPr="006041A9">
        <w:rPr>
          <w:rFonts w:ascii="Arial" w:hAnsi="Arial" w:cs="Arial"/>
          <w:sz w:val="20"/>
        </w:rPr>
        <w:t xml:space="preserve"> </w:t>
      </w:r>
      <w:r w:rsidR="00EE55C5" w:rsidRPr="00EC411B">
        <w:rPr>
          <w:rFonts w:ascii="Arial" w:hAnsi="Arial" w:cs="Arial"/>
          <w:sz w:val="20"/>
          <w:highlight w:val="yellow"/>
        </w:rPr>
        <w:t>[To create links to articles in Perspectives]</w:t>
      </w:r>
    </w:p>
    <w:p w14:paraId="082C7A0E" w14:textId="06FF1BAE" w:rsidR="00EE55C5" w:rsidRDefault="00EE55C5" w:rsidP="006041A9">
      <w:pPr>
        <w:pStyle w:val="ListParagraph"/>
        <w:numPr>
          <w:ilvl w:val="1"/>
          <w:numId w:val="2"/>
        </w:numPr>
        <w:spacing w:after="0"/>
        <w:rPr>
          <w:rFonts w:ascii="Arial" w:hAnsi="Arial" w:cs="Arial"/>
          <w:sz w:val="20"/>
        </w:rPr>
      </w:pPr>
      <w:bookmarkStart w:id="12" w:name="_Hlk43890483"/>
      <w:r w:rsidRPr="00EE55C5">
        <w:rPr>
          <w:rFonts w:ascii="Arial" w:hAnsi="Arial" w:cs="Arial"/>
          <w:sz w:val="20"/>
        </w:rPr>
        <w:t>Courts discretion to hold virtual hearings</w:t>
      </w:r>
    </w:p>
    <w:bookmarkEnd w:id="12"/>
    <w:p w14:paraId="5441ABB4" w14:textId="44E7B58B" w:rsidR="006041A9" w:rsidRDefault="006041A9" w:rsidP="006041A9">
      <w:pPr>
        <w:pStyle w:val="ListParagraph"/>
        <w:numPr>
          <w:ilvl w:val="1"/>
          <w:numId w:val="2"/>
        </w:numPr>
        <w:spacing w:after="0"/>
        <w:rPr>
          <w:rFonts w:ascii="Arial" w:hAnsi="Arial" w:cs="Arial"/>
          <w:sz w:val="20"/>
        </w:rPr>
      </w:pPr>
      <w:r w:rsidRPr="006041A9">
        <w:rPr>
          <w:rFonts w:ascii="Arial" w:hAnsi="Arial" w:cs="Arial"/>
          <w:sz w:val="20"/>
        </w:rPr>
        <w:t>Court rules on challenges to AIAC and statutory adjudication</w:t>
      </w:r>
    </w:p>
    <w:p w14:paraId="13E58DD5" w14:textId="77777777" w:rsidR="006041A9" w:rsidRDefault="006041A9" w:rsidP="006041A9">
      <w:pPr>
        <w:pStyle w:val="ListParagraph"/>
        <w:numPr>
          <w:ilvl w:val="1"/>
          <w:numId w:val="2"/>
        </w:numPr>
        <w:spacing w:after="0"/>
        <w:rPr>
          <w:rFonts w:ascii="Arial" w:hAnsi="Arial" w:cs="Arial"/>
          <w:sz w:val="20"/>
        </w:rPr>
      </w:pPr>
      <w:r w:rsidRPr="006041A9">
        <w:rPr>
          <w:rFonts w:ascii="Arial" w:hAnsi="Arial" w:cs="Arial"/>
          <w:sz w:val="20"/>
        </w:rPr>
        <w:t>Arbitration clauses - an overriding promise</w:t>
      </w:r>
    </w:p>
    <w:p w14:paraId="1C48A741" w14:textId="77777777" w:rsidR="006041A9" w:rsidRDefault="006041A9" w:rsidP="006041A9">
      <w:pPr>
        <w:pStyle w:val="ListParagraph"/>
        <w:numPr>
          <w:ilvl w:val="1"/>
          <w:numId w:val="2"/>
        </w:numPr>
        <w:spacing w:after="0"/>
        <w:rPr>
          <w:rFonts w:ascii="Arial" w:hAnsi="Arial" w:cs="Arial"/>
          <w:sz w:val="20"/>
        </w:rPr>
      </w:pPr>
      <w:r w:rsidRPr="006041A9">
        <w:rPr>
          <w:rFonts w:ascii="Arial" w:hAnsi="Arial" w:cs="Arial"/>
          <w:sz w:val="20"/>
        </w:rPr>
        <w:t>Direct payment under CIPAA where main contractor is in liquidation</w:t>
      </w:r>
    </w:p>
    <w:p w14:paraId="650004E3" w14:textId="77777777" w:rsidR="006041A9" w:rsidRDefault="006041A9" w:rsidP="006041A9">
      <w:pPr>
        <w:pStyle w:val="ListParagraph"/>
        <w:numPr>
          <w:ilvl w:val="1"/>
          <w:numId w:val="2"/>
        </w:numPr>
        <w:spacing w:after="0"/>
        <w:rPr>
          <w:rFonts w:ascii="Arial" w:hAnsi="Arial" w:cs="Arial"/>
          <w:sz w:val="20"/>
        </w:rPr>
      </w:pPr>
      <w:r w:rsidRPr="006041A9">
        <w:rPr>
          <w:rFonts w:ascii="Arial" w:hAnsi="Arial" w:cs="Arial"/>
          <w:sz w:val="20"/>
        </w:rPr>
        <w:t>High Court rules on statutory adjudication</w:t>
      </w:r>
    </w:p>
    <w:p w14:paraId="37C3777F" w14:textId="664242CF" w:rsidR="006041A9" w:rsidRDefault="006041A9" w:rsidP="006041A9">
      <w:pPr>
        <w:pStyle w:val="ListParagraph"/>
        <w:numPr>
          <w:ilvl w:val="1"/>
          <w:numId w:val="2"/>
        </w:numPr>
        <w:spacing w:after="0"/>
        <w:rPr>
          <w:rFonts w:ascii="Arial" w:hAnsi="Arial" w:cs="Arial"/>
          <w:sz w:val="20"/>
        </w:rPr>
      </w:pPr>
      <w:r w:rsidRPr="006041A9">
        <w:rPr>
          <w:rFonts w:ascii="Arial" w:hAnsi="Arial" w:cs="Arial"/>
          <w:sz w:val="20"/>
        </w:rPr>
        <w:t>Arbitration awards may be enforced within 12 years of registration</w:t>
      </w:r>
    </w:p>
    <w:p w14:paraId="6FF4E502" w14:textId="77777777" w:rsidR="00EE55C5" w:rsidRPr="004D3D4D" w:rsidRDefault="00EE55C5" w:rsidP="00EE55C5">
      <w:pPr>
        <w:pStyle w:val="ListParagraph"/>
        <w:numPr>
          <w:ilvl w:val="0"/>
          <w:numId w:val="2"/>
        </w:numPr>
        <w:spacing w:after="0" w:line="259" w:lineRule="auto"/>
        <w:ind w:left="1350"/>
        <w:jc w:val="left"/>
        <w:rPr>
          <w:rFonts w:ascii="Arial" w:hAnsi="Arial" w:cs="Arial"/>
          <w:sz w:val="20"/>
        </w:rPr>
      </w:pPr>
      <w:r w:rsidRPr="004D3D4D">
        <w:rPr>
          <w:rFonts w:ascii="Arial" w:hAnsi="Arial" w:cs="Arial"/>
          <w:sz w:val="20"/>
        </w:rPr>
        <w:t>COVID-19 and Construction Sites - Effects of CMCO on Extension of Time and Loss &amp; Expense Claims</w:t>
      </w:r>
    </w:p>
    <w:p w14:paraId="1D269C06" w14:textId="77777777" w:rsidR="00EE55C5" w:rsidRDefault="00EE55C5" w:rsidP="00EE55C5">
      <w:pPr>
        <w:pStyle w:val="ListParagraph"/>
        <w:numPr>
          <w:ilvl w:val="0"/>
          <w:numId w:val="2"/>
        </w:numPr>
        <w:spacing w:after="0"/>
        <w:ind w:left="1350"/>
        <w:rPr>
          <w:rFonts w:ascii="Arial" w:hAnsi="Arial" w:cs="Arial"/>
          <w:sz w:val="20"/>
        </w:rPr>
      </w:pPr>
      <w:r w:rsidRPr="00F7016C">
        <w:rPr>
          <w:rFonts w:ascii="Arial" w:hAnsi="Arial" w:cs="Arial"/>
          <w:sz w:val="20"/>
        </w:rPr>
        <w:t>COVID-19 – Movement Control Order and its Effect on Construction Contracts</w:t>
      </w:r>
    </w:p>
    <w:p w14:paraId="6D3C4F78" w14:textId="77777777" w:rsidR="00EE55C5" w:rsidRPr="00D811F3" w:rsidRDefault="00EE55C5" w:rsidP="00EE55C5">
      <w:pPr>
        <w:pStyle w:val="ListParagraph"/>
        <w:numPr>
          <w:ilvl w:val="0"/>
          <w:numId w:val="2"/>
        </w:numPr>
        <w:spacing w:after="0"/>
        <w:ind w:left="1350"/>
        <w:rPr>
          <w:rFonts w:ascii="Arial" w:hAnsi="Arial" w:cs="Arial"/>
          <w:sz w:val="20"/>
        </w:rPr>
      </w:pPr>
      <w:r w:rsidRPr="00D811F3">
        <w:rPr>
          <w:rFonts w:ascii="Arial" w:hAnsi="Arial" w:cs="Arial"/>
          <w:sz w:val="20"/>
        </w:rPr>
        <w:t>C</w:t>
      </w:r>
      <w:r>
        <w:rPr>
          <w:rFonts w:ascii="Arial" w:hAnsi="Arial" w:cs="Arial"/>
          <w:sz w:val="20"/>
        </w:rPr>
        <w:t>OVID</w:t>
      </w:r>
      <w:r w:rsidRPr="00D811F3">
        <w:rPr>
          <w:rFonts w:ascii="Arial" w:hAnsi="Arial" w:cs="Arial"/>
          <w:sz w:val="20"/>
        </w:rPr>
        <w:t>-19 &amp; FIDIC Form of Contracts – The Impact of the MCO or Lockdown Order on Building Sites</w:t>
      </w:r>
    </w:p>
    <w:p w14:paraId="3DC19EC3" w14:textId="77777777" w:rsidR="00EE55C5" w:rsidRPr="00D811F3" w:rsidRDefault="00EE55C5" w:rsidP="00EE55C5">
      <w:pPr>
        <w:pStyle w:val="ListParagraph"/>
        <w:numPr>
          <w:ilvl w:val="0"/>
          <w:numId w:val="2"/>
        </w:numPr>
        <w:spacing w:after="0"/>
        <w:ind w:left="1350"/>
        <w:rPr>
          <w:rFonts w:ascii="Arial" w:hAnsi="Arial" w:cs="Arial"/>
          <w:sz w:val="20"/>
        </w:rPr>
      </w:pPr>
      <w:r w:rsidRPr="00D811F3">
        <w:rPr>
          <w:rFonts w:ascii="Arial" w:hAnsi="Arial" w:cs="Arial"/>
          <w:sz w:val="20"/>
        </w:rPr>
        <w:t>C</w:t>
      </w:r>
      <w:r>
        <w:rPr>
          <w:rFonts w:ascii="Arial" w:hAnsi="Arial" w:cs="Arial"/>
          <w:sz w:val="20"/>
        </w:rPr>
        <w:t>OVID</w:t>
      </w:r>
      <w:r w:rsidRPr="00D811F3">
        <w:rPr>
          <w:rFonts w:ascii="Arial" w:hAnsi="Arial" w:cs="Arial"/>
          <w:sz w:val="20"/>
        </w:rPr>
        <w:t>-19 – The Impact of the Movement Control Order on Building Sites</w:t>
      </w:r>
    </w:p>
    <w:p w14:paraId="47F47588" w14:textId="27F82F97" w:rsidR="00EE55C5" w:rsidRDefault="00EE55C5" w:rsidP="00EE55C5">
      <w:pPr>
        <w:pStyle w:val="ListParagraph"/>
        <w:numPr>
          <w:ilvl w:val="0"/>
          <w:numId w:val="2"/>
        </w:numPr>
        <w:spacing w:after="0"/>
        <w:ind w:left="1350"/>
        <w:rPr>
          <w:rFonts w:ascii="Arial" w:hAnsi="Arial" w:cs="Arial"/>
          <w:sz w:val="20"/>
        </w:rPr>
      </w:pPr>
      <w:r w:rsidRPr="00D811F3">
        <w:rPr>
          <w:rFonts w:ascii="Arial" w:hAnsi="Arial" w:cs="Arial"/>
          <w:sz w:val="20"/>
        </w:rPr>
        <w:t>C</w:t>
      </w:r>
      <w:r>
        <w:rPr>
          <w:rFonts w:ascii="Arial" w:hAnsi="Arial" w:cs="Arial"/>
          <w:sz w:val="20"/>
        </w:rPr>
        <w:t>OVID</w:t>
      </w:r>
      <w:r w:rsidRPr="00D811F3">
        <w:rPr>
          <w:rFonts w:ascii="Arial" w:hAnsi="Arial" w:cs="Arial"/>
          <w:sz w:val="20"/>
        </w:rPr>
        <w:t>-19 and the AIAC SFC – The Impact of the Movement Control Order on Building Sites</w:t>
      </w:r>
    </w:p>
    <w:p w14:paraId="28DA6B02" w14:textId="77777777" w:rsidR="00EE55C5" w:rsidRPr="00EE55C5" w:rsidRDefault="00EE55C5" w:rsidP="00EE55C5">
      <w:pPr>
        <w:pStyle w:val="ListParagraph"/>
        <w:numPr>
          <w:ilvl w:val="1"/>
          <w:numId w:val="2"/>
        </w:numPr>
        <w:rPr>
          <w:rFonts w:ascii="Arial" w:hAnsi="Arial" w:cs="Arial"/>
          <w:sz w:val="20"/>
        </w:rPr>
      </w:pPr>
      <w:r w:rsidRPr="00EE55C5">
        <w:rPr>
          <w:rFonts w:ascii="Arial" w:hAnsi="Arial" w:cs="Arial"/>
          <w:sz w:val="20"/>
        </w:rPr>
        <w:t>COVID-19 - Legal Mechanisms for Companies and Individuals Facing Financial Distress</w:t>
      </w:r>
    </w:p>
    <w:bookmarkEnd w:id="9"/>
    <w:sectPr w:rsidR="00EE55C5" w:rsidRPr="00EE55C5" w:rsidSect="00555D39">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A9644" w14:textId="77777777" w:rsidR="00555D39" w:rsidRDefault="00555D39" w:rsidP="00555D39">
      <w:pPr>
        <w:spacing w:after="0"/>
      </w:pPr>
      <w:r>
        <w:separator/>
      </w:r>
    </w:p>
  </w:endnote>
  <w:endnote w:type="continuationSeparator" w:id="0">
    <w:p w14:paraId="729B880C" w14:textId="77777777" w:rsidR="00555D39" w:rsidRDefault="00555D39" w:rsidP="00555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0135" w14:textId="77777777" w:rsidR="00D42048" w:rsidRDefault="00D42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17F8" w14:textId="77777777" w:rsidR="00555D39" w:rsidRPr="00AA6D12" w:rsidRDefault="00555D39" w:rsidP="00555D39">
    <w:pPr>
      <w:spacing w:after="0"/>
      <w:ind w:left="0"/>
      <w:rPr>
        <w:rFonts w:ascii="Arial" w:hAnsi="Arial" w:cs="Arial"/>
        <w:b/>
        <w:bCs/>
        <w:sz w:val="22"/>
        <w:szCs w:val="18"/>
      </w:rPr>
    </w:pPr>
    <w:r w:rsidRPr="00AA6D12">
      <w:rPr>
        <w:rFonts w:ascii="Arial" w:hAnsi="Arial" w:cs="Arial"/>
        <w:b/>
        <w:bCs/>
        <w:sz w:val="22"/>
        <w:szCs w:val="18"/>
      </w:rPr>
      <w:t>Gan Partnership</w:t>
    </w:r>
  </w:p>
  <w:p w14:paraId="45882BD5" w14:textId="77777777" w:rsidR="00555D39" w:rsidRPr="00AA6D12" w:rsidRDefault="00555D39" w:rsidP="00555D39">
    <w:pPr>
      <w:spacing w:after="0"/>
      <w:ind w:left="0"/>
      <w:rPr>
        <w:rFonts w:ascii="Arial" w:hAnsi="Arial" w:cs="Arial"/>
        <w:sz w:val="22"/>
        <w:szCs w:val="18"/>
      </w:rPr>
    </w:pPr>
    <w:r w:rsidRPr="00AA6D12">
      <w:rPr>
        <w:rFonts w:ascii="Arial" w:hAnsi="Arial" w:cs="Arial"/>
        <w:sz w:val="22"/>
        <w:szCs w:val="18"/>
      </w:rPr>
      <w:t>D-32-02, Menara SUEZCAP 1, KL Gateway</w:t>
    </w:r>
    <w:r>
      <w:rPr>
        <w:rFonts w:ascii="Arial" w:hAnsi="Arial" w:cs="Arial"/>
        <w:sz w:val="22"/>
        <w:szCs w:val="18"/>
      </w:rPr>
      <w:t xml:space="preserve">, </w:t>
    </w:r>
    <w:r w:rsidRPr="00AA6D12">
      <w:rPr>
        <w:rFonts w:ascii="Arial" w:hAnsi="Arial" w:cs="Arial"/>
        <w:sz w:val="22"/>
        <w:szCs w:val="18"/>
      </w:rPr>
      <w:t xml:space="preserve">No. 2, Jalan </w:t>
    </w:r>
    <w:proofErr w:type="spellStart"/>
    <w:r w:rsidRPr="00AA6D12">
      <w:rPr>
        <w:rFonts w:ascii="Arial" w:hAnsi="Arial" w:cs="Arial"/>
        <w:sz w:val="22"/>
        <w:szCs w:val="18"/>
      </w:rPr>
      <w:t>Kerinchi</w:t>
    </w:r>
    <w:proofErr w:type="spellEnd"/>
    <w:r w:rsidRPr="00AA6D12">
      <w:rPr>
        <w:rFonts w:ascii="Arial" w:hAnsi="Arial" w:cs="Arial"/>
        <w:sz w:val="22"/>
        <w:szCs w:val="18"/>
      </w:rPr>
      <w:t xml:space="preserve">, </w:t>
    </w:r>
    <w:proofErr w:type="spellStart"/>
    <w:r w:rsidRPr="00AA6D12">
      <w:rPr>
        <w:rFonts w:ascii="Arial" w:hAnsi="Arial" w:cs="Arial"/>
        <w:sz w:val="22"/>
        <w:szCs w:val="18"/>
      </w:rPr>
      <w:t>Gerbang</w:t>
    </w:r>
    <w:proofErr w:type="spellEnd"/>
    <w:r w:rsidRPr="00AA6D12">
      <w:rPr>
        <w:rFonts w:ascii="Arial" w:hAnsi="Arial" w:cs="Arial"/>
        <w:sz w:val="22"/>
        <w:szCs w:val="18"/>
      </w:rPr>
      <w:t xml:space="preserve"> </w:t>
    </w:r>
    <w:proofErr w:type="spellStart"/>
    <w:r w:rsidRPr="00AA6D12">
      <w:rPr>
        <w:rFonts w:ascii="Arial" w:hAnsi="Arial" w:cs="Arial"/>
        <w:sz w:val="22"/>
        <w:szCs w:val="18"/>
      </w:rPr>
      <w:t>Kerinchi</w:t>
    </w:r>
    <w:proofErr w:type="spellEnd"/>
    <w:r w:rsidRPr="00AA6D12">
      <w:rPr>
        <w:rFonts w:ascii="Arial" w:hAnsi="Arial" w:cs="Arial"/>
        <w:sz w:val="22"/>
        <w:szCs w:val="18"/>
      </w:rPr>
      <w:t xml:space="preserve"> Lestari,</w:t>
    </w:r>
  </w:p>
  <w:p w14:paraId="140660B3" w14:textId="4700C9CC" w:rsidR="00555D39" w:rsidRPr="00AA6D12" w:rsidRDefault="00555D39" w:rsidP="00555D39">
    <w:pPr>
      <w:spacing w:after="0"/>
      <w:ind w:left="0"/>
      <w:rPr>
        <w:rFonts w:ascii="Arial" w:hAnsi="Arial" w:cs="Arial"/>
        <w:sz w:val="22"/>
        <w:szCs w:val="18"/>
      </w:rPr>
    </w:pPr>
    <w:r w:rsidRPr="00AA6D12">
      <w:rPr>
        <w:rFonts w:ascii="Arial" w:hAnsi="Arial" w:cs="Arial"/>
        <w:sz w:val="22"/>
        <w:szCs w:val="18"/>
      </w:rPr>
      <w:t>59200 Kuala Lumpur, Malaysia</w:t>
    </w:r>
    <w:r>
      <w:rPr>
        <w:rFonts w:ascii="Arial" w:hAnsi="Arial" w:cs="Arial"/>
        <w:sz w:val="22"/>
        <w:szCs w:val="18"/>
      </w:rPr>
      <w:t>.</w:t>
    </w:r>
  </w:p>
  <w:p w14:paraId="53B87018" w14:textId="77777777" w:rsidR="00555D39" w:rsidRPr="00AA6D12" w:rsidRDefault="00555D39" w:rsidP="00555D39">
    <w:pPr>
      <w:spacing w:after="0"/>
      <w:ind w:left="0"/>
      <w:rPr>
        <w:rFonts w:ascii="Arial" w:hAnsi="Arial" w:cs="Arial"/>
        <w:sz w:val="22"/>
        <w:szCs w:val="18"/>
      </w:rPr>
    </w:pPr>
    <w:r w:rsidRPr="00AA6D12">
      <w:rPr>
        <w:rFonts w:ascii="Arial" w:hAnsi="Arial" w:cs="Arial"/>
        <w:sz w:val="22"/>
        <w:szCs w:val="18"/>
      </w:rPr>
      <w:t>T:</w:t>
    </w:r>
    <w:r>
      <w:rPr>
        <w:rFonts w:ascii="Arial" w:hAnsi="Arial" w:cs="Arial"/>
        <w:sz w:val="22"/>
        <w:szCs w:val="18"/>
      </w:rPr>
      <w:t xml:space="preserve"> </w:t>
    </w:r>
    <w:r w:rsidRPr="00AA6D12">
      <w:rPr>
        <w:rFonts w:ascii="Arial" w:hAnsi="Arial" w:cs="Arial"/>
        <w:sz w:val="22"/>
        <w:szCs w:val="18"/>
      </w:rPr>
      <w:t>+603 7931 7060 |  F:</w:t>
    </w:r>
    <w:r>
      <w:rPr>
        <w:rFonts w:ascii="Arial" w:hAnsi="Arial" w:cs="Arial"/>
        <w:sz w:val="22"/>
        <w:szCs w:val="18"/>
      </w:rPr>
      <w:t xml:space="preserve"> </w:t>
    </w:r>
    <w:r w:rsidRPr="00AA6D12">
      <w:rPr>
        <w:rFonts w:ascii="Arial" w:hAnsi="Arial" w:cs="Arial"/>
        <w:sz w:val="22"/>
        <w:szCs w:val="18"/>
      </w:rPr>
      <w:t xml:space="preserve">+603 7931 8063 | E: </w:t>
    </w:r>
    <w:hyperlink r:id="rId1" w:history="1">
      <w:r w:rsidRPr="00AA6D12">
        <w:rPr>
          <w:rStyle w:val="Hyperlink"/>
          <w:rFonts w:ascii="Arial" w:hAnsi="Arial" w:cs="Arial"/>
          <w:sz w:val="22"/>
          <w:szCs w:val="18"/>
        </w:rPr>
        <w:t>office@ganlaw.my</w:t>
      </w:r>
    </w:hyperlink>
    <w:r w:rsidRPr="00AA6D12">
      <w:rPr>
        <w:rFonts w:ascii="Arial" w:hAnsi="Arial" w:cs="Arial"/>
        <w:sz w:val="22"/>
        <w:szCs w:val="18"/>
      </w:rPr>
      <w:t xml:space="preserve"> </w:t>
    </w:r>
    <w:r w:rsidRPr="00AA6D12">
      <w:rPr>
        <w:rFonts w:ascii="Arial" w:hAnsi="Arial" w:cs="Arial"/>
        <w:sz w:val="22"/>
        <w:szCs w:val="18"/>
      </w:rPr>
      <w:tab/>
    </w:r>
  </w:p>
  <w:p w14:paraId="70AD2FD2" w14:textId="77777777" w:rsidR="00555D39" w:rsidRDefault="0055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C27C" w14:textId="77777777" w:rsidR="00D42048" w:rsidRDefault="00D4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D3EA" w14:textId="77777777" w:rsidR="00555D39" w:rsidRDefault="00555D39" w:rsidP="00555D39">
      <w:pPr>
        <w:spacing w:after="0"/>
      </w:pPr>
      <w:r>
        <w:separator/>
      </w:r>
    </w:p>
  </w:footnote>
  <w:footnote w:type="continuationSeparator" w:id="0">
    <w:p w14:paraId="12119634" w14:textId="77777777" w:rsidR="00555D39" w:rsidRDefault="00555D39" w:rsidP="00555D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FDD96" w14:textId="77777777" w:rsidR="00D42048" w:rsidRDefault="00D42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CE20C" w14:textId="77777777" w:rsidR="00D42048" w:rsidRDefault="00D42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1EFD" w14:textId="77777777" w:rsidR="00D42048" w:rsidRDefault="00D4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82F"/>
    <w:multiLevelType w:val="hybridMultilevel"/>
    <w:tmpl w:val="C03E917C"/>
    <w:lvl w:ilvl="0" w:tplc="B6D6A580">
      <w:start w:val="1"/>
      <w:numFmt w:val="decimal"/>
      <w:lvlText w:val="(%1)"/>
      <w:lvlJc w:val="left"/>
      <w:pPr>
        <w:ind w:left="720" w:hanging="900"/>
      </w:pPr>
      <w:rPr>
        <w:rFonts w:hint="default"/>
      </w:rPr>
    </w:lvl>
    <w:lvl w:ilvl="1" w:tplc="44090019" w:tentative="1">
      <w:start w:val="1"/>
      <w:numFmt w:val="lowerLetter"/>
      <w:lvlText w:val="%2."/>
      <w:lvlJc w:val="left"/>
      <w:pPr>
        <w:ind w:left="900" w:hanging="360"/>
      </w:pPr>
    </w:lvl>
    <w:lvl w:ilvl="2" w:tplc="4409001B" w:tentative="1">
      <w:start w:val="1"/>
      <w:numFmt w:val="lowerRoman"/>
      <w:lvlText w:val="%3."/>
      <w:lvlJc w:val="right"/>
      <w:pPr>
        <w:ind w:left="1620" w:hanging="180"/>
      </w:pPr>
    </w:lvl>
    <w:lvl w:ilvl="3" w:tplc="4409000F" w:tentative="1">
      <w:start w:val="1"/>
      <w:numFmt w:val="decimal"/>
      <w:lvlText w:val="%4."/>
      <w:lvlJc w:val="left"/>
      <w:pPr>
        <w:ind w:left="2340" w:hanging="360"/>
      </w:pPr>
    </w:lvl>
    <w:lvl w:ilvl="4" w:tplc="44090019" w:tentative="1">
      <w:start w:val="1"/>
      <w:numFmt w:val="lowerLetter"/>
      <w:lvlText w:val="%5."/>
      <w:lvlJc w:val="left"/>
      <w:pPr>
        <w:ind w:left="3060" w:hanging="360"/>
      </w:pPr>
    </w:lvl>
    <w:lvl w:ilvl="5" w:tplc="4409001B" w:tentative="1">
      <w:start w:val="1"/>
      <w:numFmt w:val="lowerRoman"/>
      <w:lvlText w:val="%6."/>
      <w:lvlJc w:val="right"/>
      <w:pPr>
        <w:ind w:left="3780" w:hanging="180"/>
      </w:pPr>
    </w:lvl>
    <w:lvl w:ilvl="6" w:tplc="4409000F" w:tentative="1">
      <w:start w:val="1"/>
      <w:numFmt w:val="decimal"/>
      <w:lvlText w:val="%7."/>
      <w:lvlJc w:val="left"/>
      <w:pPr>
        <w:ind w:left="4500" w:hanging="360"/>
      </w:pPr>
    </w:lvl>
    <w:lvl w:ilvl="7" w:tplc="44090019" w:tentative="1">
      <w:start w:val="1"/>
      <w:numFmt w:val="lowerLetter"/>
      <w:lvlText w:val="%8."/>
      <w:lvlJc w:val="left"/>
      <w:pPr>
        <w:ind w:left="5220" w:hanging="360"/>
      </w:pPr>
    </w:lvl>
    <w:lvl w:ilvl="8" w:tplc="4409001B" w:tentative="1">
      <w:start w:val="1"/>
      <w:numFmt w:val="lowerRoman"/>
      <w:lvlText w:val="%9."/>
      <w:lvlJc w:val="right"/>
      <w:pPr>
        <w:ind w:left="5940" w:hanging="180"/>
      </w:pPr>
    </w:lvl>
  </w:abstractNum>
  <w:abstractNum w:abstractNumId="1" w15:restartNumberingAfterBreak="0">
    <w:nsid w:val="11D66FD1"/>
    <w:multiLevelType w:val="hybridMultilevel"/>
    <w:tmpl w:val="14EE770C"/>
    <w:lvl w:ilvl="0" w:tplc="68D093BC">
      <w:start w:val="1"/>
      <w:numFmt w:val="decimal"/>
      <w:lvlText w:val="(%1)"/>
      <w:lvlJc w:val="left"/>
      <w:pPr>
        <w:ind w:left="720" w:hanging="900"/>
      </w:pPr>
      <w:rPr>
        <w:rFonts w:hint="default"/>
      </w:rPr>
    </w:lvl>
    <w:lvl w:ilvl="1" w:tplc="44090019" w:tentative="1">
      <w:start w:val="1"/>
      <w:numFmt w:val="lowerLetter"/>
      <w:lvlText w:val="%2."/>
      <w:lvlJc w:val="left"/>
      <w:pPr>
        <w:ind w:left="900" w:hanging="360"/>
      </w:pPr>
    </w:lvl>
    <w:lvl w:ilvl="2" w:tplc="4409001B" w:tentative="1">
      <w:start w:val="1"/>
      <w:numFmt w:val="lowerRoman"/>
      <w:lvlText w:val="%3."/>
      <w:lvlJc w:val="right"/>
      <w:pPr>
        <w:ind w:left="1620" w:hanging="180"/>
      </w:pPr>
    </w:lvl>
    <w:lvl w:ilvl="3" w:tplc="4409000F" w:tentative="1">
      <w:start w:val="1"/>
      <w:numFmt w:val="decimal"/>
      <w:lvlText w:val="%4."/>
      <w:lvlJc w:val="left"/>
      <w:pPr>
        <w:ind w:left="2340" w:hanging="360"/>
      </w:pPr>
    </w:lvl>
    <w:lvl w:ilvl="4" w:tplc="44090019" w:tentative="1">
      <w:start w:val="1"/>
      <w:numFmt w:val="lowerLetter"/>
      <w:lvlText w:val="%5."/>
      <w:lvlJc w:val="left"/>
      <w:pPr>
        <w:ind w:left="3060" w:hanging="360"/>
      </w:pPr>
    </w:lvl>
    <w:lvl w:ilvl="5" w:tplc="4409001B" w:tentative="1">
      <w:start w:val="1"/>
      <w:numFmt w:val="lowerRoman"/>
      <w:lvlText w:val="%6."/>
      <w:lvlJc w:val="right"/>
      <w:pPr>
        <w:ind w:left="3780" w:hanging="180"/>
      </w:pPr>
    </w:lvl>
    <w:lvl w:ilvl="6" w:tplc="4409000F" w:tentative="1">
      <w:start w:val="1"/>
      <w:numFmt w:val="decimal"/>
      <w:lvlText w:val="%7."/>
      <w:lvlJc w:val="left"/>
      <w:pPr>
        <w:ind w:left="4500" w:hanging="360"/>
      </w:pPr>
    </w:lvl>
    <w:lvl w:ilvl="7" w:tplc="44090019" w:tentative="1">
      <w:start w:val="1"/>
      <w:numFmt w:val="lowerLetter"/>
      <w:lvlText w:val="%8."/>
      <w:lvlJc w:val="left"/>
      <w:pPr>
        <w:ind w:left="5220" w:hanging="360"/>
      </w:pPr>
    </w:lvl>
    <w:lvl w:ilvl="8" w:tplc="4409001B" w:tentative="1">
      <w:start w:val="1"/>
      <w:numFmt w:val="lowerRoman"/>
      <w:lvlText w:val="%9."/>
      <w:lvlJc w:val="right"/>
      <w:pPr>
        <w:ind w:left="5940" w:hanging="180"/>
      </w:pPr>
    </w:lvl>
  </w:abstractNum>
  <w:abstractNum w:abstractNumId="2" w15:restartNumberingAfterBreak="0">
    <w:nsid w:val="151D2848"/>
    <w:multiLevelType w:val="hybridMultilevel"/>
    <w:tmpl w:val="344CB70C"/>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3" w15:restartNumberingAfterBreak="0">
    <w:nsid w:val="2C01660C"/>
    <w:multiLevelType w:val="hybridMultilevel"/>
    <w:tmpl w:val="8DE4D156"/>
    <w:lvl w:ilvl="0" w:tplc="44090005">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4" w15:restartNumberingAfterBreak="0">
    <w:nsid w:val="2D292A25"/>
    <w:multiLevelType w:val="hybridMultilevel"/>
    <w:tmpl w:val="F0D851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E6518FE"/>
    <w:multiLevelType w:val="hybridMultilevel"/>
    <w:tmpl w:val="F5369970"/>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6" w15:restartNumberingAfterBreak="0">
    <w:nsid w:val="35203F91"/>
    <w:multiLevelType w:val="hybridMultilevel"/>
    <w:tmpl w:val="42F63506"/>
    <w:lvl w:ilvl="0" w:tplc="44090001">
      <w:start w:val="1"/>
      <w:numFmt w:val="bullet"/>
      <w:lvlText w:val=""/>
      <w:lvlJc w:val="left"/>
      <w:pPr>
        <w:ind w:left="540" w:hanging="360"/>
      </w:pPr>
      <w:rPr>
        <w:rFonts w:ascii="Symbol" w:hAnsi="Symbol" w:hint="default"/>
      </w:rPr>
    </w:lvl>
    <w:lvl w:ilvl="1" w:tplc="871CE316">
      <w:start w:val="8"/>
      <w:numFmt w:val="bullet"/>
      <w:lvlText w:val="•"/>
      <w:lvlJc w:val="left"/>
      <w:pPr>
        <w:ind w:left="1260" w:hanging="360"/>
      </w:pPr>
      <w:rPr>
        <w:rFonts w:ascii="Arial" w:eastAsia="Times New Roman" w:hAnsi="Arial" w:cs="Arial"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7" w15:restartNumberingAfterBreak="0">
    <w:nsid w:val="4B5843F6"/>
    <w:multiLevelType w:val="hybridMultilevel"/>
    <w:tmpl w:val="054C90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FB93BFB"/>
    <w:multiLevelType w:val="hybridMultilevel"/>
    <w:tmpl w:val="89786BD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1B41A6B"/>
    <w:multiLevelType w:val="hybridMultilevel"/>
    <w:tmpl w:val="719CFC52"/>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10" w15:restartNumberingAfterBreak="0">
    <w:nsid w:val="545509C3"/>
    <w:multiLevelType w:val="hybridMultilevel"/>
    <w:tmpl w:val="78AAA13E"/>
    <w:lvl w:ilvl="0" w:tplc="44090001">
      <w:start w:val="1"/>
      <w:numFmt w:val="bullet"/>
      <w:lvlText w:val=""/>
      <w:lvlJc w:val="left"/>
      <w:pPr>
        <w:ind w:left="630" w:hanging="360"/>
      </w:pPr>
      <w:rPr>
        <w:rFonts w:ascii="Symbol" w:hAnsi="Symbol" w:hint="default"/>
      </w:rPr>
    </w:lvl>
    <w:lvl w:ilvl="1" w:tplc="44090003" w:tentative="1">
      <w:start w:val="1"/>
      <w:numFmt w:val="bullet"/>
      <w:lvlText w:val="o"/>
      <w:lvlJc w:val="left"/>
      <w:pPr>
        <w:ind w:left="1350" w:hanging="360"/>
      </w:pPr>
      <w:rPr>
        <w:rFonts w:ascii="Courier New" w:hAnsi="Courier New" w:cs="Courier New"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11" w15:restartNumberingAfterBreak="0">
    <w:nsid w:val="5FC258D3"/>
    <w:multiLevelType w:val="hybridMultilevel"/>
    <w:tmpl w:val="D5D87F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6B946359"/>
    <w:multiLevelType w:val="hybridMultilevel"/>
    <w:tmpl w:val="520C06C0"/>
    <w:lvl w:ilvl="0" w:tplc="44090001">
      <w:start w:val="1"/>
      <w:numFmt w:val="bullet"/>
      <w:lvlText w:val=""/>
      <w:lvlJc w:val="left"/>
      <w:pPr>
        <w:ind w:left="630" w:hanging="360"/>
      </w:pPr>
      <w:rPr>
        <w:rFonts w:ascii="Symbol" w:hAnsi="Symbol" w:hint="default"/>
      </w:rPr>
    </w:lvl>
    <w:lvl w:ilvl="1" w:tplc="44090001">
      <w:start w:val="1"/>
      <w:numFmt w:val="bullet"/>
      <w:lvlText w:val=""/>
      <w:lvlJc w:val="left"/>
      <w:pPr>
        <w:ind w:left="1350" w:hanging="360"/>
      </w:pPr>
      <w:rPr>
        <w:rFonts w:ascii="Symbol" w:hAnsi="Symbol"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13" w15:restartNumberingAfterBreak="0">
    <w:nsid w:val="6EDA5FF4"/>
    <w:multiLevelType w:val="hybridMultilevel"/>
    <w:tmpl w:val="A290EF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1517778"/>
    <w:multiLevelType w:val="hybridMultilevel"/>
    <w:tmpl w:val="253A7B12"/>
    <w:lvl w:ilvl="0" w:tplc="BF7813E8">
      <w:start w:val="1"/>
      <w:numFmt w:val="decimal"/>
      <w:lvlText w:val="(%1)"/>
      <w:lvlJc w:val="left"/>
      <w:pPr>
        <w:ind w:left="720" w:hanging="900"/>
      </w:pPr>
      <w:rPr>
        <w:rFonts w:hint="default"/>
      </w:rPr>
    </w:lvl>
    <w:lvl w:ilvl="1" w:tplc="44090019" w:tentative="1">
      <w:start w:val="1"/>
      <w:numFmt w:val="lowerLetter"/>
      <w:lvlText w:val="%2."/>
      <w:lvlJc w:val="left"/>
      <w:pPr>
        <w:ind w:left="900" w:hanging="360"/>
      </w:pPr>
    </w:lvl>
    <w:lvl w:ilvl="2" w:tplc="4409001B" w:tentative="1">
      <w:start w:val="1"/>
      <w:numFmt w:val="lowerRoman"/>
      <w:lvlText w:val="%3."/>
      <w:lvlJc w:val="right"/>
      <w:pPr>
        <w:ind w:left="1620" w:hanging="180"/>
      </w:pPr>
    </w:lvl>
    <w:lvl w:ilvl="3" w:tplc="4409000F" w:tentative="1">
      <w:start w:val="1"/>
      <w:numFmt w:val="decimal"/>
      <w:lvlText w:val="%4."/>
      <w:lvlJc w:val="left"/>
      <w:pPr>
        <w:ind w:left="2340" w:hanging="360"/>
      </w:pPr>
    </w:lvl>
    <w:lvl w:ilvl="4" w:tplc="44090019" w:tentative="1">
      <w:start w:val="1"/>
      <w:numFmt w:val="lowerLetter"/>
      <w:lvlText w:val="%5."/>
      <w:lvlJc w:val="left"/>
      <w:pPr>
        <w:ind w:left="3060" w:hanging="360"/>
      </w:pPr>
    </w:lvl>
    <w:lvl w:ilvl="5" w:tplc="4409001B" w:tentative="1">
      <w:start w:val="1"/>
      <w:numFmt w:val="lowerRoman"/>
      <w:lvlText w:val="%6."/>
      <w:lvlJc w:val="right"/>
      <w:pPr>
        <w:ind w:left="3780" w:hanging="180"/>
      </w:pPr>
    </w:lvl>
    <w:lvl w:ilvl="6" w:tplc="4409000F" w:tentative="1">
      <w:start w:val="1"/>
      <w:numFmt w:val="decimal"/>
      <w:lvlText w:val="%7."/>
      <w:lvlJc w:val="left"/>
      <w:pPr>
        <w:ind w:left="4500" w:hanging="360"/>
      </w:pPr>
    </w:lvl>
    <w:lvl w:ilvl="7" w:tplc="44090019" w:tentative="1">
      <w:start w:val="1"/>
      <w:numFmt w:val="lowerLetter"/>
      <w:lvlText w:val="%8."/>
      <w:lvlJc w:val="left"/>
      <w:pPr>
        <w:ind w:left="5220" w:hanging="360"/>
      </w:pPr>
    </w:lvl>
    <w:lvl w:ilvl="8" w:tplc="4409001B" w:tentative="1">
      <w:start w:val="1"/>
      <w:numFmt w:val="lowerRoman"/>
      <w:lvlText w:val="%9."/>
      <w:lvlJc w:val="right"/>
      <w:pPr>
        <w:ind w:left="5940" w:hanging="180"/>
      </w:pPr>
    </w:lvl>
  </w:abstractNum>
  <w:abstractNum w:abstractNumId="15" w15:restartNumberingAfterBreak="0">
    <w:nsid w:val="79BF611F"/>
    <w:multiLevelType w:val="hybridMultilevel"/>
    <w:tmpl w:val="7D0EE8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5"/>
  </w:num>
  <w:num w:numId="5">
    <w:abstractNumId w:val="8"/>
  </w:num>
  <w:num w:numId="6">
    <w:abstractNumId w:val="9"/>
  </w:num>
  <w:num w:numId="7">
    <w:abstractNumId w:val="0"/>
  </w:num>
  <w:num w:numId="8">
    <w:abstractNumId w:val="2"/>
  </w:num>
  <w:num w:numId="9">
    <w:abstractNumId w:val="14"/>
  </w:num>
  <w:num w:numId="10">
    <w:abstractNumId w:val="6"/>
  </w:num>
  <w:num w:numId="11">
    <w:abstractNumId w:val="1"/>
  </w:num>
  <w:num w:numId="12">
    <w:abstractNumId w:val="4"/>
  </w:num>
  <w:num w:numId="13">
    <w:abstractNumId w:val="13"/>
  </w:num>
  <w:num w:numId="14">
    <w:abstractNumId w:val="1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3A"/>
    <w:rsid w:val="000651A9"/>
    <w:rsid w:val="000F185D"/>
    <w:rsid w:val="00145A0F"/>
    <w:rsid w:val="00321D84"/>
    <w:rsid w:val="00364BF6"/>
    <w:rsid w:val="00412F5C"/>
    <w:rsid w:val="00555D39"/>
    <w:rsid w:val="005C1482"/>
    <w:rsid w:val="006041A9"/>
    <w:rsid w:val="00786928"/>
    <w:rsid w:val="007B473A"/>
    <w:rsid w:val="00802ED3"/>
    <w:rsid w:val="00920D45"/>
    <w:rsid w:val="009D049F"/>
    <w:rsid w:val="00B76E4A"/>
    <w:rsid w:val="00B7705C"/>
    <w:rsid w:val="00BB124A"/>
    <w:rsid w:val="00BC26F6"/>
    <w:rsid w:val="00C3622D"/>
    <w:rsid w:val="00C5174D"/>
    <w:rsid w:val="00D42048"/>
    <w:rsid w:val="00E83C8C"/>
    <w:rsid w:val="00EC411B"/>
    <w:rsid w:val="00EE55C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DC4E"/>
  <w15:chartTrackingRefBased/>
  <w15:docId w15:val="{3E0FE8E8-3B25-413B-A2C4-6EA56E36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4D"/>
    <w:pPr>
      <w:spacing w:after="120" w:line="240" w:lineRule="auto"/>
      <w:ind w:left="1418"/>
      <w:jc w:val="both"/>
    </w:pPr>
    <w:rPr>
      <w:rFonts w:ascii="Times New Roman" w:eastAsia="Times New Roman" w:hAnsi="Times New Roman" w:cs="Times New Roman"/>
      <w:snapToGrid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174D"/>
    <w:rPr>
      <w:color w:val="0000FF"/>
      <w:u w:val="single"/>
    </w:rPr>
  </w:style>
  <w:style w:type="paragraph" w:styleId="ListParagraph">
    <w:name w:val="List Paragraph"/>
    <w:basedOn w:val="Normal"/>
    <w:uiPriority w:val="34"/>
    <w:qFormat/>
    <w:rsid w:val="00C5174D"/>
    <w:pPr>
      <w:ind w:left="720"/>
      <w:contextualSpacing/>
    </w:pPr>
  </w:style>
  <w:style w:type="paragraph" w:styleId="Header">
    <w:name w:val="header"/>
    <w:basedOn w:val="Normal"/>
    <w:link w:val="HeaderChar"/>
    <w:uiPriority w:val="99"/>
    <w:unhideWhenUsed/>
    <w:rsid w:val="00555D39"/>
    <w:pPr>
      <w:tabs>
        <w:tab w:val="center" w:pos="4513"/>
        <w:tab w:val="right" w:pos="9026"/>
      </w:tabs>
      <w:spacing w:after="0"/>
    </w:pPr>
  </w:style>
  <w:style w:type="character" w:customStyle="1" w:styleId="HeaderChar">
    <w:name w:val="Header Char"/>
    <w:basedOn w:val="DefaultParagraphFont"/>
    <w:link w:val="Header"/>
    <w:uiPriority w:val="99"/>
    <w:rsid w:val="00555D39"/>
    <w:rPr>
      <w:rFonts w:ascii="Times New Roman" w:eastAsia="Times New Roman" w:hAnsi="Times New Roman" w:cs="Times New Roman"/>
      <w:snapToGrid w:val="0"/>
      <w:sz w:val="24"/>
      <w:szCs w:val="20"/>
      <w:lang w:val="en-GB" w:eastAsia="en-US"/>
    </w:rPr>
  </w:style>
  <w:style w:type="paragraph" w:styleId="Footer">
    <w:name w:val="footer"/>
    <w:basedOn w:val="Normal"/>
    <w:link w:val="FooterChar"/>
    <w:uiPriority w:val="99"/>
    <w:unhideWhenUsed/>
    <w:rsid w:val="00555D39"/>
    <w:pPr>
      <w:tabs>
        <w:tab w:val="center" w:pos="4513"/>
        <w:tab w:val="right" w:pos="9026"/>
      </w:tabs>
      <w:spacing w:after="0"/>
    </w:pPr>
  </w:style>
  <w:style w:type="character" w:customStyle="1" w:styleId="FooterChar">
    <w:name w:val="Footer Char"/>
    <w:basedOn w:val="DefaultParagraphFont"/>
    <w:link w:val="Footer"/>
    <w:uiPriority w:val="99"/>
    <w:rsid w:val="00555D39"/>
    <w:rPr>
      <w:rFonts w:ascii="Times New Roman" w:eastAsia="Times New Roman" w:hAnsi="Times New Roman" w:cs="Times New Roman"/>
      <w:snapToGrid w:val="0"/>
      <w:sz w:val="24"/>
      <w:szCs w:val="20"/>
      <w:lang w:val="en-GB" w:eastAsia="en-US"/>
    </w:rPr>
  </w:style>
  <w:style w:type="character" w:styleId="UnresolvedMention">
    <w:name w:val="Unresolved Mention"/>
    <w:basedOn w:val="DefaultParagraphFont"/>
    <w:uiPriority w:val="99"/>
    <w:semiHidden/>
    <w:unhideWhenUsed/>
    <w:rsid w:val="00604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onliang@ganlaw.m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loballegalinsights.com/practice-areas/international-arbitration-laws-and-regulations/malaysi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ganlaw.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2DCF-846E-4F16-84AE-795BB527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Wah Foo</dc:creator>
  <cp:keywords/>
  <dc:description/>
  <cp:lastModifiedBy>yuen wah foo</cp:lastModifiedBy>
  <cp:revision>20</cp:revision>
  <dcterms:created xsi:type="dcterms:W3CDTF">2020-05-26T09:36:00Z</dcterms:created>
  <dcterms:modified xsi:type="dcterms:W3CDTF">2020-06-24T13:22:00Z</dcterms:modified>
</cp:coreProperties>
</file>